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A1E9" w14:textId="360469DD" w:rsidR="00F434D4" w:rsidRPr="00FB68A2" w:rsidRDefault="00211312" w:rsidP="00C12743">
      <w:pPr>
        <w:ind w:left="720"/>
        <w:jc w:val="both"/>
        <w:rPr>
          <w:rFonts w:cs="Arial"/>
          <w:b/>
          <w:szCs w:val="22"/>
        </w:rPr>
      </w:pPr>
      <w:r>
        <w:rPr>
          <w:noProof/>
        </w:rPr>
        <w:drawing>
          <wp:anchor distT="0" distB="0" distL="114300" distR="114300" simplePos="0" relativeHeight="251658240" behindDoc="1" locked="0" layoutInCell="1" allowOverlap="1" wp14:anchorId="1DE4CEE7" wp14:editId="2D9B0C7E">
            <wp:simplePos x="0" y="0"/>
            <wp:positionH relativeFrom="page">
              <wp:posOffset>104775</wp:posOffset>
            </wp:positionH>
            <wp:positionV relativeFrom="page">
              <wp:posOffset>38100</wp:posOffset>
            </wp:positionV>
            <wp:extent cx="7242175" cy="156210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2175" cy="1562100"/>
                    </a:xfrm>
                    <a:prstGeom prst="rect">
                      <a:avLst/>
                    </a:prstGeom>
                    <a:noFill/>
                  </pic:spPr>
                </pic:pic>
              </a:graphicData>
            </a:graphic>
            <wp14:sizeRelH relativeFrom="page">
              <wp14:pctWidth>0</wp14:pctWidth>
            </wp14:sizeRelH>
            <wp14:sizeRelV relativeFrom="page">
              <wp14:pctHeight>0</wp14:pctHeight>
            </wp14:sizeRelV>
          </wp:anchor>
        </w:drawing>
      </w:r>
    </w:p>
    <w:p w14:paraId="2B830F6F" w14:textId="77777777" w:rsidR="00F434D4" w:rsidRPr="002C290C" w:rsidRDefault="00F434D4" w:rsidP="00732AD3">
      <w:pPr>
        <w:jc w:val="both"/>
        <w:rPr>
          <w:rFonts w:cs="Arial"/>
          <w:b/>
          <w:szCs w:val="22"/>
        </w:rPr>
      </w:pPr>
    </w:p>
    <w:p w14:paraId="5DF3DA1B" w14:textId="77777777" w:rsidR="00F434D4" w:rsidRPr="002C290C" w:rsidRDefault="00F434D4" w:rsidP="00732AD3">
      <w:pPr>
        <w:jc w:val="both"/>
        <w:rPr>
          <w:rFonts w:cs="Arial"/>
          <w:b/>
          <w:szCs w:val="22"/>
        </w:rPr>
      </w:pPr>
    </w:p>
    <w:p w14:paraId="6F033445" w14:textId="77777777" w:rsidR="00402C59" w:rsidRPr="002C290C" w:rsidRDefault="00402C59" w:rsidP="00732AD3">
      <w:pPr>
        <w:jc w:val="both"/>
        <w:rPr>
          <w:rFonts w:cs="Arial"/>
          <w:b/>
          <w:szCs w:val="22"/>
        </w:rPr>
      </w:pPr>
    </w:p>
    <w:p w14:paraId="68F91B92" w14:textId="77777777" w:rsidR="00FF7E03" w:rsidRPr="002C290C" w:rsidRDefault="00FF7E03" w:rsidP="00732AD3">
      <w:pPr>
        <w:jc w:val="both"/>
        <w:rPr>
          <w:rFonts w:cs="Arial"/>
          <w:b/>
          <w:szCs w:val="22"/>
        </w:rPr>
      </w:pPr>
    </w:p>
    <w:p w14:paraId="37A3AE72" w14:textId="77777777" w:rsidR="007E42AC" w:rsidRDefault="007E42AC" w:rsidP="00A62E67">
      <w:pPr>
        <w:widowControl w:val="0"/>
        <w:spacing w:before="18"/>
        <w:ind w:right="-20"/>
        <w:rPr>
          <w:rFonts w:eastAsia="Arial" w:cs="Arial"/>
          <w:b/>
          <w:bCs/>
          <w:sz w:val="32"/>
          <w:szCs w:val="32"/>
          <w:lang w:val="en-US"/>
        </w:rPr>
      </w:pPr>
    </w:p>
    <w:p w14:paraId="1D680F4D" w14:textId="3730FB84" w:rsidR="00A62E67" w:rsidRPr="00A62E67" w:rsidRDefault="00A62E67" w:rsidP="00A62E67">
      <w:pPr>
        <w:widowControl w:val="0"/>
        <w:spacing w:before="18"/>
        <w:ind w:right="-20"/>
        <w:rPr>
          <w:rFonts w:eastAsia="Arial" w:cs="Arial"/>
          <w:sz w:val="32"/>
          <w:szCs w:val="32"/>
          <w:lang w:val="en-US"/>
        </w:rPr>
      </w:pPr>
      <w:r w:rsidRPr="00A62E67">
        <w:rPr>
          <w:rFonts w:eastAsia="Arial" w:cs="Arial"/>
          <w:b/>
          <w:bCs/>
          <w:sz w:val="32"/>
          <w:szCs w:val="32"/>
          <w:lang w:val="en-US"/>
        </w:rPr>
        <w:t>B</w:t>
      </w:r>
      <w:r w:rsidRPr="00A62E67">
        <w:rPr>
          <w:rFonts w:eastAsia="Arial" w:cs="Arial"/>
          <w:b/>
          <w:bCs/>
          <w:spacing w:val="-1"/>
          <w:sz w:val="32"/>
          <w:szCs w:val="32"/>
          <w:lang w:val="en-US"/>
        </w:rPr>
        <w:t>o</w:t>
      </w:r>
      <w:r w:rsidRPr="00A62E67">
        <w:rPr>
          <w:rFonts w:eastAsia="Arial" w:cs="Arial"/>
          <w:b/>
          <w:bCs/>
          <w:sz w:val="32"/>
          <w:szCs w:val="32"/>
          <w:lang w:val="en-US"/>
        </w:rPr>
        <w:t>a</w:t>
      </w:r>
      <w:r w:rsidRPr="00A62E67">
        <w:rPr>
          <w:rFonts w:eastAsia="Arial" w:cs="Arial"/>
          <w:b/>
          <w:bCs/>
          <w:spacing w:val="1"/>
          <w:sz w:val="32"/>
          <w:szCs w:val="32"/>
          <w:lang w:val="en-US"/>
        </w:rPr>
        <w:t>r</w:t>
      </w:r>
      <w:r w:rsidRPr="00A62E67">
        <w:rPr>
          <w:rFonts w:eastAsia="Arial" w:cs="Arial"/>
          <w:b/>
          <w:bCs/>
          <w:sz w:val="32"/>
          <w:szCs w:val="32"/>
          <w:lang w:val="en-US"/>
        </w:rPr>
        <w:t>d</w:t>
      </w:r>
      <w:r w:rsidRPr="00A62E67">
        <w:rPr>
          <w:rFonts w:eastAsia="Arial" w:cs="Arial"/>
          <w:b/>
          <w:bCs/>
          <w:spacing w:val="-7"/>
          <w:sz w:val="32"/>
          <w:szCs w:val="32"/>
          <w:lang w:val="en-US"/>
        </w:rPr>
        <w:t xml:space="preserve"> </w:t>
      </w:r>
      <w:r w:rsidRPr="00A62E67">
        <w:rPr>
          <w:rFonts w:eastAsia="Arial" w:cs="Arial"/>
          <w:b/>
          <w:bCs/>
          <w:spacing w:val="-1"/>
          <w:sz w:val="32"/>
          <w:szCs w:val="32"/>
          <w:lang w:val="en-US"/>
        </w:rPr>
        <w:t>o</w:t>
      </w:r>
      <w:r w:rsidRPr="00A62E67">
        <w:rPr>
          <w:rFonts w:eastAsia="Arial" w:cs="Arial"/>
          <w:b/>
          <w:bCs/>
          <w:sz w:val="32"/>
          <w:szCs w:val="32"/>
          <w:lang w:val="en-US"/>
        </w:rPr>
        <w:t>f</w:t>
      </w:r>
      <w:r w:rsidRPr="00A62E67">
        <w:rPr>
          <w:rFonts w:eastAsia="Arial" w:cs="Arial"/>
          <w:b/>
          <w:bCs/>
          <w:spacing w:val="-3"/>
          <w:sz w:val="32"/>
          <w:szCs w:val="32"/>
          <w:lang w:val="en-US"/>
        </w:rPr>
        <w:t xml:space="preserve"> </w:t>
      </w:r>
      <w:r w:rsidRPr="00A62E67">
        <w:rPr>
          <w:rFonts w:eastAsia="Arial" w:cs="Arial"/>
          <w:b/>
          <w:bCs/>
          <w:spacing w:val="2"/>
          <w:sz w:val="32"/>
          <w:szCs w:val="32"/>
          <w:lang w:val="en-US"/>
        </w:rPr>
        <w:t>D</w:t>
      </w:r>
      <w:r w:rsidRPr="00A62E67">
        <w:rPr>
          <w:rFonts w:eastAsia="Arial" w:cs="Arial"/>
          <w:b/>
          <w:bCs/>
          <w:sz w:val="32"/>
          <w:szCs w:val="32"/>
          <w:lang w:val="en-US"/>
        </w:rPr>
        <w:t>i</w:t>
      </w:r>
      <w:r w:rsidRPr="00A62E67">
        <w:rPr>
          <w:rFonts w:eastAsia="Arial" w:cs="Arial"/>
          <w:b/>
          <w:bCs/>
          <w:spacing w:val="1"/>
          <w:sz w:val="32"/>
          <w:szCs w:val="32"/>
          <w:lang w:val="en-US"/>
        </w:rPr>
        <w:t>r</w:t>
      </w:r>
      <w:r w:rsidRPr="00A62E67">
        <w:rPr>
          <w:rFonts w:eastAsia="Arial" w:cs="Arial"/>
          <w:b/>
          <w:bCs/>
          <w:sz w:val="32"/>
          <w:szCs w:val="32"/>
          <w:lang w:val="en-US"/>
        </w:rPr>
        <w:t>ec</w:t>
      </w:r>
      <w:r w:rsidRPr="00A62E67">
        <w:rPr>
          <w:rFonts w:eastAsia="Arial" w:cs="Arial"/>
          <w:b/>
          <w:bCs/>
          <w:spacing w:val="2"/>
          <w:sz w:val="32"/>
          <w:szCs w:val="32"/>
          <w:lang w:val="en-US"/>
        </w:rPr>
        <w:t>t</w:t>
      </w:r>
      <w:r w:rsidRPr="00A62E67">
        <w:rPr>
          <w:rFonts w:eastAsia="Arial" w:cs="Arial"/>
          <w:b/>
          <w:bCs/>
          <w:spacing w:val="-1"/>
          <w:sz w:val="32"/>
          <w:szCs w:val="32"/>
          <w:lang w:val="en-US"/>
        </w:rPr>
        <w:t>o</w:t>
      </w:r>
      <w:r w:rsidRPr="00A62E67">
        <w:rPr>
          <w:rFonts w:eastAsia="Arial" w:cs="Arial"/>
          <w:b/>
          <w:bCs/>
          <w:spacing w:val="1"/>
          <w:sz w:val="32"/>
          <w:szCs w:val="32"/>
          <w:lang w:val="en-US"/>
        </w:rPr>
        <w:t>r</w:t>
      </w:r>
      <w:r w:rsidRPr="00A62E67">
        <w:rPr>
          <w:rFonts w:eastAsia="Arial" w:cs="Arial"/>
          <w:b/>
          <w:bCs/>
          <w:sz w:val="32"/>
          <w:szCs w:val="32"/>
          <w:lang w:val="en-US"/>
        </w:rPr>
        <w:t>s</w:t>
      </w:r>
      <w:r w:rsidRPr="00A62E67">
        <w:rPr>
          <w:rFonts w:eastAsia="Arial" w:cs="Arial"/>
          <w:b/>
          <w:bCs/>
          <w:spacing w:val="-14"/>
          <w:sz w:val="32"/>
          <w:szCs w:val="32"/>
          <w:lang w:val="en-US"/>
        </w:rPr>
        <w:t xml:space="preserve"> </w:t>
      </w:r>
      <w:r w:rsidRPr="00A62E67">
        <w:rPr>
          <w:rFonts w:eastAsia="Arial" w:cs="Arial"/>
          <w:b/>
          <w:bCs/>
          <w:spacing w:val="-1"/>
          <w:sz w:val="32"/>
          <w:szCs w:val="32"/>
          <w:lang w:val="en-US"/>
        </w:rPr>
        <w:t>(</w:t>
      </w:r>
      <w:r w:rsidR="007E41C4">
        <w:rPr>
          <w:rFonts w:eastAsia="Arial" w:cs="Arial"/>
          <w:b/>
          <w:bCs/>
          <w:spacing w:val="-1"/>
          <w:sz w:val="32"/>
          <w:szCs w:val="32"/>
          <w:lang w:val="en-US"/>
        </w:rPr>
        <w:t xml:space="preserve">in </w:t>
      </w:r>
      <w:r w:rsidRPr="00A62E67">
        <w:rPr>
          <w:rFonts w:eastAsia="Arial" w:cs="Arial"/>
          <w:b/>
          <w:bCs/>
          <w:spacing w:val="1"/>
          <w:sz w:val="32"/>
          <w:szCs w:val="32"/>
          <w:lang w:val="en-US"/>
        </w:rPr>
        <w:t>P</w:t>
      </w:r>
      <w:r w:rsidRPr="00A62E67">
        <w:rPr>
          <w:rFonts w:eastAsia="Arial" w:cs="Arial"/>
          <w:b/>
          <w:bCs/>
          <w:spacing w:val="2"/>
          <w:sz w:val="32"/>
          <w:szCs w:val="32"/>
          <w:lang w:val="en-US"/>
        </w:rPr>
        <w:t>u</w:t>
      </w:r>
      <w:r w:rsidRPr="00A62E67">
        <w:rPr>
          <w:rFonts w:eastAsia="Arial" w:cs="Arial"/>
          <w:b/>
          <w:bCs/>
          <w:spacing w:val="-1"/>
          <w:sz w:val="32"/>
          <w:szCs w:val="32"/>
          <w:lang w:val="en-US"/>
        </w:rPr>
        <w:t>b</w:t>
      </w:r>
      <w:r w:rsidRPr="00A62E67">
        <w:rPr>
          <w:rFonts w:eastAsia="Arial" w:cs="Arial"/>
          <w:b/>
          <w:bCs/>
          <w:sz w:val="32"/>
          <w:szCs w:val="32"/>
          <w:lang w:val="en-US"/>
        </w:rPr>
        <w:t>lic)</w:t>
      </w:r>
    </w:p>
    <w:p w14:paraId="2A0297F2" w14:textId="77777777" w:rsidR="00BA1268" w:rsidRPr="002C290C" w:rsidRDefault="00BA1268" w:rsidP="00732AD3">
      <w:pPr>
        <w:jc w:val="both"/>
        <w:rPr>
          <w:rFonts w:cs="Arial"/>
          <w:szCs w:val="22"/>
          <w:lang w:val="en-US"/>
        </w:rPr>
      </w:pPr>
    </w:p>
    <w:p w14:paraId="408BF276" w14:textId="111794B9" w:rsidR="00EB5FCA" w:rsidRPr="002C290C" w:rsidRDefault="00211312" w:rsidP="00732AD3">
      <w:pPr>
        <w:jc w:val="both"/>
        <w:rPr>
          <w:rFonts w:cs="Arial"/>
          <w:b/>
          <w:szCs w:val="22"/>
        </w:rPr>
      </w:pPr>
      <w:r>
        <w:rPr>
          <w:rFonts w:cs="Arial"/>
          <w:noProof/>
          <w:szCs w:val="22"/>
        </w:rPr>
        <mc:AlternateContent>
          <mc:Choice Requires="wps">
            <w:drawing>
              <wp:anchor distT="0" distB="0" distL="114300" distR="114300" simplePos="0" relativeHeight="251657216" behindDoc="0" locked="0" layoutInCell="1" allowOverlap="1" wp14:anchorId="6DE225E5" wp14:editId="459570DC">
                <wp:simplePos x="0" y="0"/>
                <wp:positionH relativeFrom="column">
                  <wp:posOffset>8501380</wp:posOffset>
                </wp:positionH>
                <wp:positionV relativeFrom="paragraph">
                  <wp:posOffset>60325</wp:posOffset>
                </wp:positionV>
                <wp:extent cx="1264285" cy="764540"/>
                <wp:effectExtent l="0" t="3175" r="0" b="381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764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F04A0" w14:textId="77777777" w:rsidR="004260EA" w:rsidRPr="00EB5FCA" w:rsidRDefault="004260EA" w:rsidP="00EB5FCA">
                            <w:pPr>
                              <w:jc w:val="center"/>
                              <w:rPr>
                                <w:rFonts w:cs="Arial"/>
                                <w:b/>
                                <w:sz w:val="32"/>
                                <w:szCs w:val="32"/>
                              </w:rPr>
                            </w:pPr>
                            <w:r>
                              <w:rPr>
                                <w:rFonts w:cs="Arial"/>
                                <w:b/>
                                <w:sz w:val="32"/>
                                <w:szCs w:val="32"/>
                              </w:rPr>
                              <w:t>Board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E225E5" id="_x0000_t202" coordsize="21600,21600" o:spt="202" path="m,l,21600r21600,l21600,xe">
                <v:stroke joinstyle="miter"/>
                <v:path gradientshapeok="t" o:connecttype="rect"/>
              </v:shapetype>
              <v:shape id="Text Box 13" o:spid="_x0000_s1026" type="#_x0000_t202" style="position:absolute;left:0;text-align:left;margin-left:669.4pt;margin-top:4.75pt;width:99.55pt;height:6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fxCAIAAPADAAAOAAAAZHJzL2Uyb0RvYy54bWysU9tu2zAMfR+wfxD0vjhJk7Q14hRdigwD&#10;ugvQ7gNkWbaFyaJGKbGzrx8lp1nQvg3TgyCK1CHPIbW+GzrDDgq9Blvw2WTKmbISKm2bgv943n24&#10;4cwHYSthwKqCH5Xnd5v379a9y9UcWjCVQkYg1ue9K3gbgsuzzMtWdcJPwClLzhqwE4FMbLIKRU/o&#10;ncnm0+kq6wErhyCV93T7MDr5JuHXtZLhW117FZgpONUW0o5pL+OebdYib1C4VstTGeIfquiEtpT0&#10;DPUggmB71G+gOi0RPNRhIqHLoK61VIkDsZlNX7F5aoVTiQuJ491ZJv//YOXXw3dkuir4FWdWdNSi&#10;ZzUE9hEGNruK8vTO5xT15CguDHRPbU5UvXsE+dMzC9tW2EbdI0LfKlFRebP4Mrt4OuL4CFL2X6Ci&#10;PGIfIAENNXZRO1KDETq16XhuTaxFxpTz1WJ+s+RMku96tVguUu8ykb+8dujDJwUdi4eCI7U+oYvD&#10;ow+xGpG/hMRkHoyudtqYZGBTbg2yg6Ax2aWVCLwKMzYGW4jPRsR4k2hGZiPHMJTDSbYSqiMRRhjH&#10;jr4JHVrA35z1NHIF97/2AhVn5rMl0W5nC2LFQjIWy+s5GXjpKS89wkqCKnjgbDxuwzjXe4e6aSnT&#10;2CYL9yR0rZMGsSNjVae6aaySNKcvEOf20k5Rfz/q5g8AAAD//wMAUEsDBBQABgAIAAAAIQBmBxOb&#10;3wAAAAsBAAAPAAAAZHJzL2Rvd25yZXYueG1sTI/BTsMwEETvSPyDtUhcEHVoSNOkcSpAAnFt6Qds&#10;4m0SNV5Hsdukf497gtuMZjT7ttjOphcXGl1nWcHLIgJBXFvdcaPg8PP5vAbhPLLG3jIpuJKDbXl/&#10;V2Cu7cQ7uux9I8IIuxwVtN4PuZSubsmgW9iBOGRHOxr0wY6N1CNOYdz0chlFK2mw43ChxYE+WqpP&#10;+7NRcPyenpJsqr78Id29rt6xSyt7VerxYX7bgPA0+78y3PADOpSBqbJn1k70wcfxOrB7BVkC4lZI&#10;4jQDUQW1zDKQZSH//1D+AgAA//8DAFBLAQItABQABgAIAAAAIQC2gziS/gAAAOEBAAATAAAAAAAA&#10;AAAAAAAAAAAAAABbQ29udGVudF9UeXBlc10ueG1sUEsBAi0AFAAGAAgAAAAhADj9If/WAAAAlAEA&#10;AAsAAAAAAAAAAAAAAAAALwEAAF9yZWxzLy5yZWxzUEsBAi0AFAAGAAgAAAAhAJgb1/EIAgAA8AMA&#10;AA4AAAAAAAAAAAAAAAAALgIAAGRycy9lMm9Eb2MueG1sUEsBAi0AFAAGAAgAAAAhAGYHE5vfAAAA&#10;CwEAAA8AAAAAAAAAAAAAAAAAYgQAAGRycy9kb3ducmV2LnhtbFBLBQYAAAAABAAEAPMAAABuBQAA&#10;AAA=&#10;" stroked="f">
                <v:textbox>
                  <w:txbxContent>
                    <w:p w14:paraId="082F04A0" w14:textId="77777777" w:rsidR="004260EA" w:rsidRPr="00EB5FCA" w:rsidRDefault="004260EA" w:rsidP="00EB5FCA">
                      <w:pPr>
                        <w:jc w:val="center"/>
                        <w:rPr>
                          <w:rFonts w:cs="Arial"/>
                          <w:b/>
                          <w:sz w:val="32"/>
                          <w:szCs w:val="32"/>
                        </w:rPr>
                      </w:pPr>
                      <w:r>
                        <w:rPr>
                          <w:rFonts w:cs="Arial"/>
                          <w:b/>
                          <w:sz w:val="32"/>
                          <w:szCs w:val="32"/>
                        </w:rPr>
                        <w:t>Board report</w:t>
                      </w:r>
                    </w:p>
                  </w:txbxContent>
                </v:textbox>
              </v:shape>
            </w:pict>
          </mc:Fallback>
        </mc:AlternateContent>
      </w:r>
    </w:p>
    <w:p w14:paraId="53E160A6" w14:textId="77777777" w:rsidR="00982316" w:rsidRPr="00C8030B" w:rsidRDefault="00982316" w:rsidP="00AF3086">
      <w:pPr>
        <w:rPr>
          <w:rFonts w:cs="Arial"/>
          <w:b/>
          <w:szCs w:val="22"/>
        </w:rPr>
      </w:pPr>
    </w:p>
    <w:p w14:paraId="08459A99" w14:textId="2E603C82" w:rsidR="00FB4CC5" w:rsidRPr="00C8030B" w:rsidRDefault="003746B3" w:rsidP="004A36EE">
      <w:pPr>
        <w:ind w:left="2160" w:hanging="2160"/>
        <w:rPr>
          <w:b/>
        </w:rPr>
      </w:pPr>
      <w:r w:rsidRPr="00C8030B">
        <w:rPr>
          <w:b/>
        </w:rPr>
        <w:t>Subjec</w:t>
      </w:r>
      <w:r w:rsidR="00AF3086">
        <w:rPr>
          <w:b/>
        </w:rPr>
        <w:t>t:</w:t>
      </w:r>
      <w:r w:rsidR="00AF3086">
        <w:rPr>
          <w:b/>
        </w:rPr>
        <w:tab/>
      </w:r>
      <w:r w:rsidR="00681378" w:rsidRPr="00C8030B">
        <w:rPr>
          <w:b/>
        </w:rPr>
        <w:t xml:space="preserve">LHCH Monthly Staffing </w:t>
      </w:r>
      <w:r w:rsidR="002D7858" w:rsidRPr="00C8030B">
        <w:rPr>
          <w:b/>
        </w:rPr>
        <w:t xml:space="preserve">for </w:t>
      </w:r>
      <w:r w:rsidR="00FB4CC5" w:rsidRPr="00C8030B">
        <w:rPr>
          <w:b/>
        </w:rPr>
        <w:t xml:space="preserve">Reporting Period </w:t>
      </w:r>
      <w:r w:rsidR="00162819">
        <w:rPr>
          <w:b/>
        </w:rPr>
        <w:t xml:space="preserve">for </w:t>
      </w:r>
      <w:r w:rsidR="00D064EE">
        <w:rPr>
          <w:b/>
        </w:rPr>
        <w:t>January 2022</w:t>
      </w:r>
    </w:p>
    <w:p w14:paraId="71488E56" w14:textId="13976504" w:rsidR="00123E4A" w:rsidRDefault="00EA3D6F" w:rsidP="00AF3086">
      <w:pPr>
        <w:rPr>
          <w:b/>
        </w:rPr>
      </w:pPr>
      <w:r>
        <w:rPr>
          <w:b/>
        </w:rPr>
        <w:t>Date of meeting</w:t>
      </w:r>
      <w:r w:rsidR="00AF3086">
        <w:rPr>
          <w:b/>
        </w:rPr>
        <w:t>:</w:t>
      </w:r>
      <w:r w:rsidR="00AF3086">
        <w:rPr>
          <w:b/>
        </w:rPr>
        <w:tab/>
      </w:r>
      <w:r w:rsidR="00D1254C">
        <w:rPr>
          <w:b/>
        </w:rPr>
        <w:t>29</w:t>
      </w:r>
      <w:r w:rsidR="00D1254C" w:rsidRPr="00D1254C">
        <w:rPr>
          <w:b/>
          <w:vertAlign w:val="superscript"/>
        </w:rPr>
        <w:t>th</w:t>
      </w:r>
      <w:r w:rsidR="00D1254C">
        <w:rPr>
          <w:b/>
        </w:rPr>
        <w:t xml:space="preserve"> March 2022</w:t>
      </w:r>
    </w:p>
    <w:p w14:paraId="07896046" w14:textId="4AE53E2F" w:rsidR="00625282" w:rsidRDefault="00162819" w:rsidP="00AF3086">
      <w:pPr>
        <w:rPr>
          <w:b/>
        </w:rPr>
      </w:pPr>
      <w:r>
        <w:rPr>
          <w:b/>
        </w:rPr>
        <w:t xml:space="preserve">Prepared by: </w:t>
      </w:r>
      <w:r w:rsidR="00AF3086">
        <w:rPr>
          <w:b/>
        </w:rPr>
        <w:tab/>
      </w:r>
      <w:r w:rsidR="00AF3086">
        <w:rPr>
          <w:b/>
        </w:rPr>
        <w:tab/>
      </w:r>
      <w:r w:rsidR="006F5389" w:rsidRPr="005E7FC0">
        <w:rPr>
          <w:b/>
        </w:rPr>
        <w:t>Julie Roy</w:t>
      </w:r>
      <w:r w:rsidR="00A812A5" w:rsidRPr="005E7FC0">
        <w:rPr>
          <w:b/>
        </w:rPr>
        <w:t>,</w:t>
      </w:r>
      <w:r w:rsidR="00123E4A">
        <w:rPr>
          <w:b/>
        </w:rPr>
        <w:t xml:space="preserve"> Head o</w:t>
      </w:r>
      <w:r w:rsidR="00A00850">
        <w:rPr>
          <w:b/>
        </w:rPr>
        <w:t>f Nursing &amp; Quality for Medicine</w:t>
      </w:r>
    </w:p>
    <w:p w14:paraId="3C3F079D" w14:textId="15015D86" w:rsidR="00172407" w:rsidRDefault="00172407" w:rsidP="00AF3086">
      <w:pPr>
        <w:ind w:left="1440"/>
        <w:rPr>
          <w:b/>
        </w:rPr>
      </w:pPr>
      <w:r>
        <w:rPr>
          <w:b/>
        </w:rPr>
        <w:t xml:space="preserve">      </w:t>
      </w:r>
      <w:r w:rsidR="00AF3086">
        <w:rPr>
          <w:b/>
        </w:rPr>
        <w:tab/>
      </w:r>
      <w:r>
        <w:rPr>
          <w:b/>
        </w:rPr>
        <w:t>Fiona Altintas, Head of Nursing &amp; Quality for Surgery</w:t>
      </w:r>
    </w:p>
    <w:p w14:paraId="7EDEF6FC" w14:textId="706D9559" w:rsidR="00D671A3" w:rsidRDefault="00EA3D6F" w:rsidP="00AF3086">
      <w:pPr>
        <w:ind w:left="1440"/>
        <w:rPr>
          <w:b/>
        </w:rPr>
      </w:pPr>
      <w:r>
        <w:rPr>
          <w:b/>
        </w:rPr>
        <w:t xml:space="preserve">      </w:t>
      </w:r>
      <w:r w:rsidR="00AF3086">
        <w:rPr>
          <w:b/>
        </w:rPr>
        <w:tab/>
      </w:r>
      <w:r w:rsidR="003618E9">
        <w:rPr>
          <w:b/>
        </w:rPr>
        <w:t>Kirsty Dudley, Critical Care Manager</w:t>
      </w:r>
      <w:r>
        <w:rPr>
          <w:b/>
        </w:rPr>
        <w:t xml:space="preserve">,   </w:t>
      </w:r>
    </w:p>
    <w:p w14:paraId="4AB62259" w14:textId="7985DBB6" w:rsidR="00CA04E3" w:rsidRDefault="00CA04E3" w:rsidP="00AF3086">
      <w:pPr>
        <w:rPr>
          <w:b/>
        </w:rPr>
      </w:pPr>
      <w:r w:rsidRPr="00C8030B">
        <w:rPr>
          <w:b/>
        </w:rPr>
        <w:t>Presented by:</w:t>
      </w:r>
      <w:r w:rsidR="00AF3086">
        <w:rPr>
          <w:b/>
        </w:rPr>
        <w:tab/>
      </w:r>
      <w:r w:rsidR="001D73BA" w:rsidRPr="00C8030B">
        <w:rPr>
          <w:b/>
        </w:rPr>
        <w:t>Sue Pemberton, Executive Director of Nursing</w:t>
      </w:r>
      <w:r w:rsidR="00AF3086">
        <w:rPr>
          <w:b/>
        </w:rPr>
        <w:t>, Quality &amp; Safety</w:t>
      </w:r>
    </w:p>
    <w:p w14:paraId="48509376" w14:textId="5A4673AB" w:rsidR="00A054C0" w:rsidRDefault="00A054C0" w:rsidP="00AF3086">
      <w:pPr>
        <w:rPr>
          <w:b/>
        </w:rPr>
      </w:pPr>
      <w:r>
        <w:rPr>
          <w:b/>
        </w:rPr>
        <w:t>Purpose of Repor</w:t>
      </w:r>
      <w:r w:rsidR="00AF3086">
        <w:rPr>
          <w:b/>
        </w:rPr>
        <w:t>t:</w:t>
      </w:r>
      <w:r w:rsidR="00AF3086">
        <w:rPr>
          <w:b/>
        </w:rPr>
        <w:tab/>
      </w:r>
      <w:r w:rsidR="007E41C4">
        <w:rPr>
          <w:b/>
        </w:rPr>
        <w:t xml:space="preserve">To Note </w:t>
      </w:r>
    </w:p>
    <w:p w14:paraId="148C6155" w14:textId="687EAC9A" w:rsidR="00AF3086" w:rsidRDefault="00AF3086" w:rsidP="00AF3086">
      <w:pPr>
        <w:rPr>
          <w:b/>
        </w:rPr>
      </w:pPr>
    </w:p>
    <w:tbl>
      <w:tblPr>
        <w:tblW w:w="8990" w:type="dxa"/>
        <w:tblInd w:w="5" w:type="dxa"/>
        <w:tblLayout w:type="fixed"/>
        <w:tblCellMar>
          <w:left w:w="0" w:type="dxa"/>
          <w:right w:w="0" w:type="dxa"/>
        </w:tblCellMar>
        <w:tblLook w:val="01E0" w:firstRow="1" w:lastRow="1" w:firstColumn="1" w:lastColumn="1" w:noHBand="0" w:noVBand="0"/>
      </w:tblPr>
      <w:tblGrid>
        <w:gridCol w:w="2694"/>
        <w:gridCol w:w="6296"/>
      </w:tblGrid>
      <w:tr w:rsidR="00AF3086" w:rsidRPr="00DF6B20" w14:paraId="0617094E" w14:textId="77777777" w:rsidTr="007E41C4">
        <w:trPr>
          <w:trHeight w:hRule="exact" w:val="519"/>
        </w:trPr>
        <w:tc>
          <w:tcPr>
            <w:tcW w:w="2694"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366BB56B" w14:textId="5F25315E" w:rsidR="00AF3086" w:rsidRPr="00DF6B20" w:rsidRDefault="007E41C4" w:rsidP="00AF3086">
            <w:pPr>
              <w:pStyle w:val="NoSpacing"/>
              <w:rPr>
                <w:rFonts w:ascii="Arial" w:hAnsi="Arial" w:cs="Arial"/>
                <w:b/>
              </w:rPr>
            </w:pPr>
            <w:r>
              <w:rPr>
                <w:rFonts w:ascii="Arial" w:hAnsi="Arial" w:cs="Arial"/>
                <w:b/>
              </w:rPr>
              <w:t xml:space="preserve"> </w:t>
            </w:r>
            <w:r w:rsidR="00AF3086" w:rsidRPr="00DF6B20">
              <w:rPr>
                <w:rFonts w:ascii="Arial" w:hAnsi="Arial" w:cs="Arial"/>
                <w:b/>
              </w:rPr>
              <w:t>BAF Reference</w:t>
            </w:r>
          </w:p>
        </w:tc>
        <w:tc>
          <w:tcPr>
            <w:tcW w:w="6296" w:type="dxa"/>
            <w:tcBorders>
              <w:top w:val="single" w:sz="4" w:space="0" w:color="000000"/>
              <w:left w:val="single" w:sz="4" w:space="0" w:color="000000"/>
              <w:bottom w:val="single" w:sz="4" w:space="0" w:color="000000"/>
              <w:right w:val="single" w:sz="4" w:space="0" w:color="000000"/>
            </w:tcBorders>
            <w:shd w:val="clear" w:color="auto" w:fill="DADADA"/>
            <w:vAlign w:val="center"/>
          </w:tcPr>
          <w:p w14:paraId="5D1B9459" w14:textId="30E3B9FE" w:rsidR="00AF3086" w:rsidRPr="00DF6B20" w:rsidRDefault="007E41C4" w:rsidP="00AF3086">
            <w:pPr>
              <w:pStyle w:val="NoSpacing"/>
              <w:rPr>
                <w:rFonts w:ascii="Arial" w:hAnsi="Arial" w:cs="Arial"/>
                <w:b/>
              </w:rPr>
            </w:pPr>
            <w:r>
              <w:rPr>
                <w:rFonts w:ascii="Arial" w:hAnsi="Arial" w:cs="Arial"/>
                <w:b/>
              </w:rPr>
              <w:t xml:space="preserve"> </w:t>
            </w:r>
            <w:r w:rsidR="00AF3086" w:rsidRPr="00DF6B20">
              <w:rPr>
                <w:rFonts w:ascii="Arial" w:hAnsi="Arial" w:cs="Arial"/>
                <w:b/>
              </w:rPr>
              <w:t>Impact on BAF</w:t>
            </w:r>
          </w:p>
        </w:tc>
      </w:tr>
      <w:tr w:rsidR="00AF3086" w:rsidRPr="00DF6B20" w14:paraId="55B6B9A3" w14:textId="77777777" w:rsidTr="007E41C4">
        <w:trPr>
          <w:trHeight w:hRule="exact" w:val="588"/>
        </w:trPr>
        <w:tc>
          <w:tcPr>
            <w:tcW w:w="2694" w:type="dxa"/>
            <w:tcBorders>
              <w:top w:val="single" w:sz="4" w:space="0" w:color="000000"/>
              <w:left w:val="single" w:sz="4" w:space="0" w:color="000000"/>
              <w:bottom w:val="single" w:sz="4" w:space="0" w:color="000000"/>
              <w:right w:val="single" w:sz="4" w:space="0" w:color="000000"/>
            </w:tcBorders>
            <w:vAlign w:val="center"/>
          </w:tcPr>
          <w:p w14:paraId="3CCCA930" w14:textId="5BD03F9C" w:rsidR="00AF3086" w:rsidRPr="007E41C4" w:rsidRDefault="007E41C4" w:rsidP="00AF3086">
            <w:pPr>
              <w:pStyle w:val="NoSpacing"/>
              <w:rPr>
                <w:rFonts w:ascii="Arial" w:hAnsi="Arial" w:cs="Arial"/>
                <w:iCs/>
              </w:rPr>
            </w:pPr>
            <w:r w:rsidRPr="007E41C4">
              <w:rPr>
                <w:rFonts w:ascii="Arial" w:hAnsi="Arial" w:cs="Arial"/>
                <w:iCs/>
              </w:rPr>
              <w:t xml:space="preserve"> </w:t>
            </w:r>
            <w:r w:rsidR="00AF3086" w:rsidRPr="007E41C4">
              <w:rPr>
                <w:rFonts w:ascii="Arial" w:hAnsi="Arial" w:cs="Arial"/>
                <w:iCs/>
              </w:rPr>
              <w:t xml:space="preserve">BAF 1 </w:t>
            </w:r>
          </w:p>
        </w:tc>
        <w:tc>
          <w:tcPr>
            <w:tcW w:w="6296" w:type="dxa"/>
            <w:tcBorders>
              <w:top w:val="single" w:sz="4" w:space="0" w:color="000000"/>
              <w:left w:val="single" w:sz="4" w:space="0" w:color="000000"/>
              <w:bottom w:val="single" w:sz="4" w:space="0" w:color="000000"/>
              <w:right w:val="single" w:sz="4" w:space="0" w:color="000000"/>
            </w:tcBorders>
            <w:vAlign w:val="center"/>
          </w:tcPr>
          <w:p w14:paraId="12836497" w14:textId="23ECD63E" w:rsidR="00AF3086" w:rsidRPr="007E41C4" w:rsidRDefault="007E41C4" w:rsidP="00AF3086">
            <w:pPr>
              <w:pStyle w:val="Default"/>
              <w:rPr>
                <w:rFonts w:ascii="Arial" w:hAnsi="Arial" w:cs="Arial"/>
                <w:iCs/>
              </w:rPr>
            </w:pPr>
            <w:r w:rsidRPr="007E41C4">
              <w:rPr>
                <w:rFonts w:ascii="Arial" w:hAnsi="Arial" w:cs="Arial"/>
                <w:iCs/>
              </w:rPr>
              <w:t xml:space="preserve"> </w:t>
            </w:r>
            <w:r w:rsidR="00D1254C">
              <w:rPr>
                <w:rFonts w:ascii="Arial" w:hAnsi="Arial" w:cs="Arial"/>
                <w:iCs/>
              </w:rPr>
              <w:t>To provide assurance regarding nurse staffing.</w:t>
            </w:r>
          </w:p>
        </w:tc>
      </w:tr>
    </w:tbl>
    <w:p w14:paraId="5EB08F06" w14:textId="5DC779C0" w:rsidR="00AF3086" w:rsidRDefault="00AF3086" w:rsidP="00AF3086">
      <w:pPr>
        <w:rPr>
          <w:b/>
        </w:rPr>
      </w:pPr>
    </w:p>
    <w:p w14:paraId="4896999C" w14:textId="77777777" w:rsidR="00AF3086" w:rsidRPr="00C8030B" w:rsidRDefault="00AF3086" w:rsidP="00AF3086">
      <w:pPr>
        <w:rPr>
          <w:b/>
        </w:rPr>
      </w:pPr>
    </w:p>
    <w:tbl>
      <w:tblPr>
        <w:tblStyle w:val="TableGrid"/>
        <w:tblW w:w="0" w:type="auto"/>
        <w:tblLook w:val="04A0" w:firstRow="1" w:lastRow="0" w:firstColumn="1" w:lastColumn="0" w:noHBand="0" w:noVBand="1"/>
      </w:tblPr>
      <w:tblGrid>
        <w:gridCol w:w="596"/>
        <w:gridCol w:w="2394"/>
        <w:gridCol w:w="576"/>
        <w:gridCol w:w="2436"/>
        <w:gridCol w:w="565"/>
        <w:gridCol w:w="2449"/>
      </w:tblGrid>
      <w:tr w:rsidR="00AF3086" w14:paraId="6E47EB87" w14:textId="77777777" w:rsidTr="000567A8">
        <w:tc>
          <w:tcPr>
            <w:tcW w:w="9016" w:type="dxa"/>
            <w:gridSpan w:val="6"/>
          </w:tcPr>
          <w:p w14:paraId="4EA21822" w14:textId="77777777" w:rsidR="00AF3086" w:rsidRPr="005E2AFA" w:rsidRDefault="00AF3086" w:rsidP="00AF3086">
            <w:pPr>
              <w:spacing w:before="60" w:after="60"/>
              <w:rPr>
                <w:rFonts w:cs="Arial"/>
                <w:b/>
                <w:color w:val="FF0000"/>
              </w:rPr>
            </w:pPr>
            <w:r w:rsidRPr="005E2AFA">
              <w:rPr>
                <w:rFonts w:cs="Arial"/>
                <w:b/>
                <w:color w:val="FF0000"/>
              </w:rPr>
              <w:t>Level of assurance (</w:t>
            </w:r>
            <w:r w:rsidRPr="005E2AFA">
              <w:rPr>
                <w:rFonts w:cs="Arial"/>
                <w:b/>
                <w:i/>
                <w:iCs/>
                <w:color w:val="FF0000"/>
              </w:rPr>
              <w:t>please tick one</w:t>
            </w:r>
            <w:r w:rsidRPr="005E2AFA">
              <w:rPr>
                <w:rFonts w:cs="Arial"/>
                <w:b/>
                <w:color w:val="FF0000"/>
              </w:rPr>
              <w:t>)</w:t>
            </w:r>
          </w:p>
          <w:p w14:paraId="3B84BCB3" w14:textId="213096BF" w:rsidR="00AF3086" w:rsidRPr="005E2AFA" w:rsidRDefault="00AF3086" w:rsidP="00AF3086">
            <w:pPr>
              <w:rPr>
                <w:rFonts w:cs="Arial"/>
                <w:b/>
                <w:bCs/>
                <w:color w:val="7030A0"/>
              </w:rPr>
            </w:pPr>
            <w:r w:rsidRPr="005E2AFA">
              <w:rPr>
                <w:rFonts w:cs="Arial"/>
                <w:bCs/>
                <w:i/>
                <w:iCs/>
                <w:color w:val="FF0000"/>
              </w:rPr>
              <w:t xml:space="preserve">To be used when the content of </w:t>
            </w:r>
            <w:r w:rsidR="00CD472E" w:rsidRPr="005E2AFA">
              <w:rPr>
                <w:rFonts w:cs="Arial"/>
                <w:bCs/>
                <w:i/>
                <w:iCs/>
                <w:color w:val="FF0000"/>
              </w:rPr>
              <w:t>the report</w:t>
            </w:r>
            <w:r w:rsidRPr="005E2AFA">
              <w:rPr>
                <w:rFonts w:cs="Arial"/>
                <w:bCs/>
                <w:i/>
                <w:iCs/>
                <w:color w:val="FF0000"/>
              </w:rPr>
              <w:t xml:space="preserve"> provides evidence of assurance</w:t>
            </w:r>
          </w:p>
        </w:tc>
      </w:tr>
      <w:tr w:rsidR="00AF3086" w14:paraId="65E577C7" w14:textId="77777777" w:rsidTr="000567A8">
        <w:tc>
          <w:tcPr>
            <w:tcW w:w="596" w:type="dxa"/>
          </w:tcPr>
          <w:p w14:paraId="58238557" w14:textId="04A8D567" w:rsidR="00AF3086" w:rsidRPr="007E41C4" w:rsidRDefault="00AF3086" w:rsidP="007E41C4">
            <w:pPr>
              <w:pStyle w:val="ListParagraph"/>
              <w:numPr>
                <w:ilvl w:val="0"/>
                <w:numId w:val="13"/>
              </w:numPr>
              <w:ind w:left="504"/>
              <w:rPr>
                <w:rFonts w:cs="Arial"/>
                <w:b/>
                <w:bCs/>
                <w:color w:val="7030A0"/>
                <w:sz w:val="32"/>
                <w:szCs w:val="32"/>
              </w:rPr>
            </w:pPr>
          </w:p>
        </w:tc>
        <w:tc>
          <w:tcPr>
            <w:tcW w:w="2394" w:type="dxa"/>
          </w:tcPr>
          <w:p w14:paraId="65BF38A3" w14:textId="77777777" w:rsidR="00AF3086" w:rsidRPr="005E2AFA" w:rsidRDefault="00AF3086" w:rsidP="00AF3086">
            <w:pPr>
              <w:spacing w:before="60" w:after="60"/>
              <w:rPr>
                <w:rFonts w:cs="Arial"/>
                <w:b/>
                <w:color w:val="00B050"/>
              </w:rPr>
            </w:pPr>
            <w:r w:rsidRPr="005E2AFA">
              <w:rPr>
                <w:rFonts w:cs="Arial"/>
                <w:b/>
                <w:color w:val="00B050"/>
              </w:rPr>
              <w:t>Acceptable assurance</w:t>
            </w:r>
          </w:p>
          <w:p w14:paraId="73ECC3D7" w14:textId="77777777" w:rsidR="00AF3086" w:rsidRPr="005E2AFA" w:rsidRDefault="00AF3086" w:rsidP="00AF3086">
            <w:pPr>
              <w:rPr>
                <w:rFonts w:cs="Arial"/>
                <w:b/>
                <w:bCs/>
                <w:color w:val="7030A0"/>
              </w:rPr>
            </w:pPr>
            <w:r w:rsidRPr="005E2AFA">
              <w:rPr>
                <w:rFonts w:cs="Arial"/>
              </w:rPr>
              <w:t>Controls are suitably designed, with evidence of them being consistently applied and effective in practice</w:t>
            </w:r>
          </w:p>
        </w:tc>
        <w:tc>
          <w:tcPr>
            <w:tcW w:w="576" w:type="dxa"/>
          </w:tcPr>
          <w:p w14:paraId="5D220E42" w14:textId="77777777" w:rsidR="00AF3086" w:rsidRPr="005E2AFA" w:rsidRDefault="00AF3086" w:rsidP="00AF3086">
            <w:pPr>
              <w:rPr>
                <w:rFonts w:cs="Arial"/>
                <w:b/>
                <w:bCs/>
                <w:color w:val="7030A0"/>
              </w:rPr>
            </w:pPr>
            <w:r w:rsidRPr="005E2AFA">
              <w:rPr>
                <w:rStyle w:val="Style18"/>
                <w:rFonts w:ascii="Segoe UI Symbol" w:eastAsia="MS Gothic" w:hAnsi="Segoe UI Symbol" w:cs="Segoe UI Symbol"/>
              </w:rPr>
              <w:t>☐</w:t>
            </w:r>
          </w:p>
        </w:tc>
        <w:tc>
          <w:tcPr>
            <w:tcW w:w="2436" w:type="dxa"/>
          </w:tcPr>
          <w:p w14:paraId="7E89DD41" w14:textId="77777777" w:rsidR="00AF3086" w:rsidRPr="005E2AFA" w:rsidRDefault="00AF3086" w:rsidP="00AF3086">
            <w:pPr>
              <w:spacing w:before="60" w:after="60"/>
              <w:rPr>
                <w:rFonts w:cs="Arial"/>
                <w:b/>
                <w:color w:val="FFC000"/>
              </w:rPr>
            </w:pPr>
            <w:r w:rsidRPr="005E2AFA">
              <w:rPr>
                <w:rFonts w:cs="Arial"/>
                <w:b/>
                <w:color w:val="FFC000"/>
              </w:rPr>
              <w:t>Partial assurance</w:t>
            </w:r>
          </w:p>
          <w:p w14:paraId="09F9FA4E" w14:textId="77777777" w:rsidR="00AF3086" w:rsidRPr="005E2AFA" w:rsidRDefault="00AF3086" w:rsidP="00AF3086">
            <w:pPr>
              <w:rPr>
                <w:rFonts w:cs="Arial"/>
                <w:b/>
                <w:bCs/>
                <w:color w:val="7030A0"/>
              </w:rPr>
            </w:pPr>
            <w:r w:rsidRPr="005E2AFA">
              <w:rPr>
                <w:rFonts w:cs="Arial"/>
              </w:rPr>
              <w:t>Controls are still maturing – evidence shows that further action is required to improve their effectiveness</w:t>
            </w:r>
          </w:p>
        </w:tc>
        <w:tc>
          <w:tcPr>
            <w:tcW w:w="565" w:type="dxa"/>
          </w:tcPr>
          <w:p w14:paraId="56044732" w14:textId="77777777" w:rsidR="00AF3086" w:rsidRPr="005E2AFA" w:rsidRDefault="00AF3086" w:rsidP="00AF3086">
            <w:pPr>
              <w:rPr>
                <w:rFonts w:cs="Arial"/>
                <w:b/>
                <w:bCs/>
                <w:color w:val="7030A0"/>
              </w:rPr>
            </w:pPr>
            <w:r w:rsidRPr="005E2AFA">
              <w:rPr>
                <w:rStyle w:val="Style18"/>
                <w:rFonts w:ascii="Segoe UI Symbol" w:eastAsia="MS Gothic" w:hAnsi="Segoe UI Symbol" w:cs="Segoe UI Symbol"/>
              </w:rPr>
              <w:t>☐</w:t>
            </w:r>
          </w:p>
        </w:tc>
        <w:tc>
          <w:tcPr>
            <w:tcW w:w="2449" w:type="dxa"/>
          </w:tcPr>
          <w:p w14:paraId="7D2C203A" w14:textId="77777777" w:rsidR="00AF3086" w:rsidRPr="005E2AFA" w:rsidRDefault="00AF3086" w:rsidP="00AF3086">
            <w:pPr>
              <w:spacing w:before="60" w:after="60"/>
              <w:rPr>
                <w:rFonts w:cs="Arial"/>
                <w:b/>
                <w:color w:val="FF0000"/>
              </w:rPr>
            </w:pPr>
            <w:r w:rsidRPr="005E2AFA">
              <w:rPr>
                <w:rFonts w:cs="Arial"/>
                <w:b/>
                <w:color w:val="FF0000"/>
              </w:rPr>
              <w:t>Low assurance</w:t>
            </w:r>
          </w:p>
          <w:p w14:paraId="20DD53D3" w14:textId="77777777" w:rsidR="00AF3086" w:rsidRPr="005E2AFA" w:rsidRDefault="00AF3086" w:rsidP="00AF3086">
            <w:pPr>
              <w:rPr>
                <w:rFonts w:cs="Arial"/>
                <w:b/>
                <w:bCs/>
                <w:color w:val="7030A0"/>
              </w:rPr>
            </w:pPr>
            <w:r w:rsidRPr="005E2AFA">
              <w:rPr>
                <w:rFonts w:cs="Arial"/>
              </w:rPr>
              <w:t>Evidence indicates poor effectiveness of controls</w:t>
            </w:r>
          </w:p>
        </w:tc>
      </w:tr>
    </w:tbl>
    <w:p w14:paraId="5635FB9E" w14:textId="77777777" w:rsidR="00A62E67" w:rsidRPr="00C8030B" w:rsidRDefault="00C8030B" w:rsidP="00AF3086">
      <w:pPr>
        <w:rPr>
          <w:b/>
        </w:rPr>
      </w:pPr>
      <w:r>
        <w:rPr>
          <w:b/>
        </w:rPr>
        <w:tab/>
      </w:r>
    </w:p>
    <w:p w14:paraId="0AD6F71D" w14:textId="30F38CCB" w:rsidR="00E301A2" w:rsidRPr="00357C1D" w:rsidRDefault="00357C1D" w:rsidP="00AF3086">
      <w:pPr>
        <w:rPr>
          <w:rFonts w:cs="Arial"/>
          <w:b/>
          <w:szCs w:val="22"/>
        </w:rPr>
      </w:pPr>
      <w:r>
        <w:rPr>
          <w:rFonts w:cs="Arial"/>
          <w:b/>
          <w:szCs w:val="22"/>
        </w:rPr>
        <w:t xml:space="preserve">1. </w:t>
      </w:r>
      <w:r w:rsidR="00E301A2" w:rsidRPr="00357C1D">
        <w:rPr>
          <w:rFonts w:cs="Arial"/>
          <w:b/>
          <w:szCs w:val="22"/>
        </w:rPr>
        <w:t xml:space="preserve">Executive Summary </w:t>
      </w:r>
    </w:p>
    <w:p w14:paraId="7AA7B30C" w14:textId="77777777" w:rsidR="00043E75" w:rsidRDefault="00043E75" w:rsidP="00AF3086">
      <w:pPr>
        <w:rPr>
          <w:rFonts w:eastAsia="Calibri"/>
        </w:rPr>
      </w:pPr>
    </w:p>
    <w:p w14:paraId="0E8CD8F6" w14:textId="2F000678" w:rsidR="00043E75" w:rsidRDefault="00043E75" w:rsidP="00AF3086">
      <w:pPr>
        <w:rPr>
          <w:rFonts w:eastAsia="Calibri"/>
        </w:rPr>
      </w:pPr>
      <w:r>
        <w:rPr>
          <w:rFonts w:eastAsia="Calibri"/>
        </w:rPr>
        <w:t>At Liverpool Heart &amp; Chest Hospital, we aim to provide excellent, efficient safe care for our patients and populations every day and our nursing staffing levels are continually assessed to ensure that we achieve this.</w:t>
      </w:r>
      <w:r w:rsidR="00357C1D">
        <w:rPr>
          <w:rFonts w:eastAsia="Calibri"/>
        </w:rPr>
        <w:t xml:space="preserve"> This continues to be a particularly challenging period for all staff working with reduced staffing levels at times. The Trust has experienced </w:t>
      </w:r>
      <w:r w:rsidR="00357C1D" w:rsidRPr="00C027BA">
        <w:rPr>
          <w:rFonts w:eastAsia="Calibri"/>
        </w:rPr>
        <w:t>an increase in staff absence</w:t>
      </w:r>
      <w:r w:rsidR="00357C1D">
        <w:rPr>
          <w:rFonts w:eastAsia="Calibri"/>
        </w:rPr>
        <w:t xml:space="preserve"> during the covid pandemic</w:t>
      </w:r>
      <w:r w:rsidR="00E41E3B">
        <w:rPr>
          <w:rFonts w:eastAsia="Calibri"/>
        </w:rPr>
        <w:t>,</w:t>
      </w:r>
      <w:r w:rsidR="00357C1D">
        <w:rPr>
          <w:rFonts w:eastAsia="Calibri"/>
        </w:rPr>
        <w:t xml:space="preserve"> which has contributed to increased staffing pressures, experienced across the NHS. Significant effort continues in the recruitment of staff, including successful participation in a Pan-Mersey international recruitment project</w:t>
      </w:r>
      <w:r w:rsidR="00C524AE">
        <w:rPr>
          <w:rFonts w:eastAsia="Calibri"/>
        </w:rPr>
        <w:t xml:space="preserve"> and further international recruitment through a Cheshire collaborative.</w:t>
      </w:r>
      <w:r w:rsidR="00357C1D">
        <w:rPr>
          <w:rFonts w:eastAsia="Calibri"/>
        </w:rPr>
        <w:t xml:space="preserve"> Staffing levels are reviewed regularly throughout every day, with senior nurse oversight to ensure safe care is maintained.</w:t>
      </w:r>
    </w:p>
    <w:p w14:paraId="4C6C03BF" w14:textId="77777777" w:rsidR="00043E75" w:rsidRDefault="00043E75" w:rsidP="00AF3086">
      <w:pPr>
        <w:rPr>
          <w:rFonts w:eastAsia="Calibri"/>
        </w:rPr>
      </w:pPr>
    </w:p>
    <w:p w14:paraId="2476F7CF" w14:textId="77777777" w:rsidR="00357C1D" w:rsidRPr="00357C1D" w:rsidRDefault="00357C1D" w:rsidP="00AF3086">
      <w:pPr>
        <w:rPr>
          <w:rFonts w:eastAsia="Calibri"/>
          <w:b/>
          <w:bCs/>
        </w:rPr>
      </w:pPr>
      <w:r w:rsidRPr="00357C1D">
        <w:rPr>
          <w:rFonts w:eastAsia="Calibri"/>
          <w:b/>
          <w:bCs/>
        </w:rPr>
        <w:t>2. Background</w:t>
      </w:r>
    </w:p>
    <w:p w14:paraId="36FE9B4E" w14:textId="77777777" w:rsidR="00357C1D" w:rsidRDefault="00357C1D" w:rsidP="00AF3086">
      <w:pPr>
        <w:rPr>
          <w:rFonts w:eastAsia="Calibri"/>
        </w:rPr>
      </w:pPr>
    </w:p>
    <w:p w14:paraId="66D8A0EF" w14:textId="76F9EA30" w:rsidR="00043E75" w:rsidRDefault="00B96330" w:rsidP="00AF3086">
      <w:pPr>
        <w:rPr>
          <w:rFonts w:eastAsia="Calibri"/>
        </w:rPr>
      </w:pPr>
      <w:r w:rsidRPr="00B96330">
        <w:rPr>
          <w:rFonts w:eastAsia="Calibri"/>
        </w:rPr>
        <w:t>In line with the recommendations detailed in ‘Hard Truths – The Journey to Putting Patients First’ (</w:t>
      </w:r>
      <w:r>
        <w:rPr>
          <w:rFonts w:eastAsia="Calibri"/>
        </w:rPr>
        <w:t>Department of Health, 2014), LHCH</w:t>
      </w:r>
      <w:r w:rsidRPr="00B96330">
        <w:rPr>
          <w:rFonts w:eastAsia="Calibri"/>
        </w:rPr>
        <w:t xml:space="preserve"> publishes staffing levels </w:t>
      </w:r>
      <w:r w:rsidR="00CD472E" w:rsidRPr="00B96330">
        <w:rPr>
          <w:rFonts w:eastAsia="Calibri"/>
        </w:rPr>
        <w:t>monthly</w:t>
      </w:r>
      <w:r w:rsidRPr="00B96330">
        <w:rPr>
          <w:rFonts w:eastAsia="Calibri"/>
        </w:rPr>
        <w:t xml:space="preserve"> on the Trust’s internet and to UNIFY.  </w:t>
      </w:r>
    </w:p>
    <w:p w14:paraId="1FA2D5E8" w14:textId="77777777" w:rsidR="00B96330" w:rsidRDefault="00B96330" w:rsidP="00AF3086">
      <w:pPr>
        <w:rPr>
          <w:rFonts w:eastAsia="Calibri"/>
        </w:rPr>
      </w:pPr>
    </w:p>
    <w:p w14:paraId="44F4DA08" w14:textId="2A6774C1" w:rsidR="00EF203F" w:rsidRDefault="00827D32" w:rsidP="00AF3086">
      <w:pPr>
        <w:rPr>
          <w:rFonts w:eastAsia="Calibri"/>
        </w:rPr>
      </w:pPr>
      <w:r w:rsidRPr="00C8030B">
        <w:rPr>
          <w:rFonts w:eastAsia="Calibri"/>
        </w:rPr>
        <w:t xml:space="preserve">The National Quality Board (NQB) publication Supporting NHS providers to deliver the right staff, with the right skills, in the right place at the right time: Safe, </w:t>
      </w:r>
      <w:r w:rsidR="00CD472E" w:rsidRPr="00C8030B">
        <w:rPr>
          <w:rFonts w:eastAsia="Calibri"/>
        </w:rPr>
        <w:t>sustainable,</w:t>
      </w:r>
      <w:r w:rsidRPr="00C8030B">
        <w:rPr>
          <w:rFonts w:eastAsia="Calibri"/>
        </w:rPr>
        <w:t xml:space="preserve"> and productive staffing (2016) outlines the expectations and framework within which decisions on safe and sustainable staffing should be made to support the delivery of safe, effective, caring, responsive and well-led care on a sustainable basis.</w:t>
      </w:r>
      <w:r w:rsidRPr="00C8030B">
        <w:t xml:space="preserve"> </w:t>
      </w:r>
      <w:r w:rsidRPr="00C8030B">
        <w:rPr>
          <w:rFonts w:eastAsia="Calibri"/>
        </w:rPr>
        <w:t xml:space="preserve">It builds on National Institute for Health and Care Excellence (NICE) guidelines on safe staffing for nursing in adult inpatient </w:t>
      </w:r>
      <w:r w:rsidR="007C4A5D" w:rsidRPr="00C8030B">
        <w:rPr>
          <w:rFonts w:eastAsia="Calibri"/>
        </w:rPr>
        <w:t>wards and</w:t>
      </w:r>
      <w:r w:rsidRPr="00C8030B">
        <w:rPr>
          <w:rFonts w:eastAsia="Calibri"/>
        </w:rPr>
        <w:t xml:space="preserve"> is informed by NICE’s comprehensive evidence reviews of research, and subsequent evidence reviews focusing specifically on staffing levels and outcomes, flexible </w:t>
      </w:r>
      <w:r w:rsidR="00CD472E" w:rsidRPr="00C8030B">
        <w:rPr>
          <w:rFonts w:eastAsia="Calibri"/>
        </w:rPr>
        <w:t>staffing,</w:t>
      </w:r>
      <w:r w:rsidRPr="00C8030B">
        <w:rPr>
          <w:rFonts w:eastAsia="Calibri"/>
        </w:rPr>
        <w:t xml:space="preserve"> and shift work. </w:t>
      </w:r>
    </w:p>
    <w:p w14:paraId="005D39F4" w14:textId="77777777" w:rsidR="00340B41" w:rsidRDefault="00340B41" w:rsidP="00AF3086">
      <w:pPr>
        <w:rPr>
          <w:rFonts w:eastAsia="Calibri"/>
        </w:rPr>
      </w:pPr>
    </w:p>
    <w:p w14:paraId="1384FF57" w14:textId="120FC91A" w:rsidR="008F1A2C" w:rsidRPr="008F1A2C" w:rsidRDefault="00340B41" w:rsidP="00AF3086">
      <w:pPr>
        <w:rPr>
          <w:rFonts w:eastAsia="Calibri"/>
        </w:rPr>
      </w:pPr>
      <w:r>
        <w:rPr>
          <w:rFonts w:eastAsia="Calibri"/>
        </w:rPr>
        <w:t xml:space="preserve">The purpose of this report is to provide </w:t>
      </w:r>
      <w:r w:rsidR="008F1A2C">
        <w:rPr>
          <w:rFonts w:eastAsia="Calibri"/>
        </w:rPr>
        <w:t>detail of the care hours per patient day (CHPPD) delivered to inpatient areas in LHCH. It will also</w:t>
      </w:r>
      <w:r w:rsidR="008F1A2C" w:rsidRPr="008F1A2C">
        <w:rPr>
          <w:rFonts w:eastAsia="Calibri"/>
        </w:rPr>
        <w:t xml:space="preserve"> detail, exceptions to planned staffing levels for the month</w:t>
      </w:r>
      <w:r w:rsidR="00C524AE">
        <w:rPr>
          <w:rFonts w:eastAsia="Calibri"/>
        </w:rPr>
        <w:t xml:space="preserve"> of </w:t>
      </w:r>
      <w:r w:rsidR="00D064EE">
        <w:rPr>
          <w:rFonts w:eastAsia="Calibri"/>
        </w:rPr>
        <w:t>January 2022</w:t>
      </w:r>
      <w:r w:rsidR="008F1A2C" w:rsidRPr="008F1A2C">
        <w:rPr>
          <w:rFonts w:eastAsia="Calibri"/>
        </w:rPr>
        <w:t xml:space="preserve"> and the impact on nurse sensitive indicators.  </w:t>
      </w:r>
    </w:p>
    <w:p w14:paraId="3EB502C0" w14:textId="620FC545" w:rsidR="00357C1D" w:rsidRDefault="008F1A2C" w:rsidP="00AF3086">
      <w:pPr>
        <w:rPr>
          <w:rFonts w:eastAsia="Calibri"/>
        </w:rPr>
      </w:pPr>
      <w:r w:rsidRPr="008F1A2C">
        <w:rPr>
          <w:rFonts w:eastAsia="Calibri"/>
        </w:rPr>
        <w:t>This report details planned and actual nurse staffing levels for the month</w:t>
      </w:r>
      <w:r w:rsidR="00D064EE">
        <w:rPr>
          <w:rFonts w:eastAsia="Calibri"/>
        </w:rPr>
        <w:t xml:space="preserve"> of January 2022</w:t>
      </w:r>
      <w:r w:rsidRPr="008F1A2C">
        <w:rPr>
          <w:rFonts w:eastAsia="Calibri"/>
        </w:rPr>
        <w:t>, including any red flag concerns</w:t>
      </w:r>
      <w:r w:rsidR="00357C1D">
        <w:rPr>
          <w:rFonts w:eastAsia="Calibri"/>
        </w:rPr>
        <w:t>.</w:t>
      </w:r>
    </w:p>
    <w:p w14:paraId="11E507E9" w14:textId="1A6D2EBE" w:rsidR="00E41E3B" w:rsidRDefault="00E41E3B" w:rsidP="00AF3086">
      <w:pPr>
        <w:rPr>
          <w:rFonts w:eastAsia="Calibri"/>
        </w:rPr>
      </w:pPr>
    </w:p>
    <w:p w14:paraId="62356641" w14:textId="01967AA1" w:rsidR="007F545F" w:rsidRDefault="00357C1D" w:rsidP="00AF3086">
      <w:pPr>
        <w:rPr>
          <w:b/>
          <w:bCs/>
        </w:rPr>
      </w:pPr>
      <w:r>
        <w:rPr>
          <w:b/>
          <w:bCs/>
        </w:rPr>
        <w:t>3.1</w:t>
      </w:r>
      <w:r w:rsidR="007F545F" w:rsidRPr="007F545F">
        <w:rPr>
          <w:b/>
          <w:bCs/>
        </w:rPr>
        <w:t>. Vacancy Data</w:t>
      </w:r>
    </w:p>
    <w:p w14:paraId="35A0BE41" w14:textId="77777777" w:rsidR="007F545F" w:rsidRPr="007F545F" w:rsidRDefault="007F545F" w:rsidP="00AF3086">
      <w:pPr>
        <w:rPr>
          <w:b/>
          <w:bCs/>
        </w:rPr>
      </w:pPr>
    </w:p>
    <w:p w14:paraId="59CEAF69" w14:textId="1955847C" w:rsidR="0065535B" w:rsidRPr="00262E72" w:rsidRDefault="008F1A2C" w:rsidP="00AF3086">
      <w:bookmarkStart w:id="0" w:name="_Hlk92897102"/>
      <w:r>
        <w:t xml:space="preserve">All RN vacancies across the Trust </w:t>
      </w:r>
      <w:r w:rsidR="00C761D2">
        <w:t>are</w:t>
      </w:r>
      <w:r>
        <w:t xml:space="preserve"> reviewed </w:t>
      </w:r>
      <w:r w:rsidR="00C761D2">
        <w:t xml:space="preserve">regularly </w:t>
      </w:r>
      <w:r>
        <w:t xml:space="preserve">by the Director of Nursing with the senior nursing team. </w:t>
      </w:r>
      <w:r w:rsidR="004A36EE">
        <w:t xml:space="preserve">The Trust’s </w:t>
      </w:r>
      <w:r w:rsidR="00B92FC1">
        <w:t>r</w:t>
      </w:r>
      <w:r>
        <w:t xml:space="preserve">ecruitment </w:t>
      </w:r>
      <w:r w:rsidR="00B92FC1">
        <w:t>l</w:t>
      </w:r>
      <w:r>
        <w:t xml:space="preserve">ead within HR </w:t>
      </w:r>
      <w:r w:rsidR="004A36EE">
        <w:t>continues</w:t>
      </w:r>
      <w:r w:rsidR="00F7097B">
        <w:t xml:space="preserve"> to work</w:t>
      </w:r>
      <w:r>
        <w:t xml:space="preserve"> closely with the senior nursing team</w:t>
      </w:r>
      <w:r w:rsidR="00E41E3B">
        <w:t>,</w:t>
      </w:r>
      <w:r>
        <w:t xml:space="preserve"> to ensure oversight of all Trust vacancies and recruitment progress against each. This information </w:t>
      </w:r>
      <w:r w:rsidR="004A36EE">
        <w:t>is</w:t>
      </w:r>
      <w:r>
        <w:t xml:space="preserve"> validated by the senior nursing team to ensure accurate vacancy reporting </w:t>
      </w:r>
      <w:r w:rsidRPr="004E4BCB">
        <w:t>data</w:t>
      </w:r>
      <w:r w:rsidR="00B92FC1" w:rsidRPr="004E4BCB">
        <w:t>.</w:t>
      </w:r>
      <w:r w:rsidR="0065535B" w:rsidRPr="004E4BCB">
        <w:t xml:space="preserve"> There are currently </w:t>
      </w:r>
      <w:r w:rsidR="004E4BCB" w:rsidRPr="004E4BCB">
        <w:t>31</w:t>
      </w:r>
      <w:r w:rsidR="00F60447" w:rsidRPr="004E4BCB">
        <w:t xml:space="preserve"> </w:t>
      </w:r>
      <w:r w:rsidR="0065535B" w:rsidRPr="004E4BCB">
        <w:t xml:space="preserve">band 5 RN vacancies </w:t>
      </w:r>
      <w:r w:rsidR="00BA392B" w:rsidRPr="004E4BCB">
        <w:t xml:space="preserve">with </w:t>
      </w:r>
      <w:r w:rsidR="004E4BCB" w:rsidRPr="004E4BCB">
        <w:t>12</w:t>
      </w:r>
      <w:r w:rsidR="00BA392B" w:rsidRPr="004E4BCB">
        <w:t xml:space="preserve"> students due to start </w:t>
      </w:r>
      <w:r w:rsidR="004E4BCB" w:rsidRPr="004E4BCB">
        <w:t>by</w:t>
      </w:r>
      <w:r w:rsidR="00BA392B" w:rsidRPr="004E4BCB">
        <w:t xml:space="preserve"> April 2022 and a further </w:t>
      </w:r>
      <w:r w:rsidR="004E4BCB" w:rsidRPr="004E4BCB">
        <w:t>35</w:t>
      </w:r>
      <w:r w:rsidR="00BA392B" w:rsidRPr="004E4BCB">
        <w:t xml:space="preserve"> in the recruitment pipeline, </w:t>
      </w:r>
      <w:r w:rsidR="004E4BCB" w:rsidRPr="004E4BCB">
        <w:t xml:space="preserve">to start by December </w:t>
      </w:r>
      <w:r w:rsidR="006A3C56">
        <w:t>20</w:t>
      </w:r>
      <w:r w:rsidR="004E4BCB" w:rsidRPr="004E4BCB">
        <w:t xml:space="preserve">22 </w:t>
      </w:r>
      <w:r w:rsidR="00BA392B" w:rsidRPr="004E4BCB">
        <w:t>in addition to the international nurses detailed below.</w:t>
      </w:r>
    </w:p>
    <w:p w14:paraId="55B402C3" w14:textId="77777777" w:rsidR="00BA0A75" w:rsidRDefault="00BA0A75" w:rsidP="00AF3086"/>
    <w:p w14:paraId="75DAC9FA" w14:textId="3499DD67" w:rsidR="00BA0A75" w:rsidRPr="00894B62" w:rsidRDefault="007776BE" w:rsidP="00AF3086">
      <w:pPr>
        <w:rPr>
          <w:b/>
          <w:bCs/>
        </w:rPr>
      </w:pPr>
      <w:r w:rsidRPr="00894B62">
        <w:rPr>
          <w:b/>
          <w:bCs/>
        </w:rPr>
        <w:t>Table 1-</w:t>
      </w:r>
      <w:r w:rsidR="00BA0A75" w:rsidRPr="00894B62">
        <w:rPr>
          <w:b/>
          <w:bCs/>
        </w:rPr>
        <w:t xml:space="preserve">Vacancy data </w:t>
      </w:r>
      <w:r w:rsidR="00D064EE">
        <w:rPr>
          <w:b/>
          <w:bCs/>
        </w:rPr>
        <w:t>January 2022</w:t>
      </w:r>
      <w:r w:rsidR="00357C1D" w:rsidRPr="00894B62">
        <w:rPr>
          <w:b/>
          <w:bCs/>
        </w:rPr>
        <w:t xml:space="preserve"> (all bands)</w:t>
      </w:r>
    </w:p>
    <w:p w14:paraId="65838589" w14:textId="77777777" w:rsidR="00BA0A75" w:rsidRPr="00894B62" w:rsidRDefault="00BA0A75" w:rsidP="00AF3086"/>
    <w:tbl>
      <w:tblPr>
        <w:tblW w:w="5680" w:type="dxa"/>
        <w:tblInd w:w="108" w:type="dxa"/>
        <w:tblLook w:val="04A0" w:firstRow="1" w:lastRow="0" w:firstColumn="1" w:lastColumn="0" w:noHBand="0" w:noVBand="1"/>
      </w:tblPr>
      <w:tblGrid>
        <w:gridCol w:w="2920"/>
        <w:gridCol w:w="1380"/>
        <w:gridCol w:w="1380"/>
      </w:tblGrid>
      <w:tr w:rsidR="00D064EE" w:rsidRPr="00BA0A75" w14:paraId="3AD834F2" w14:textId="4B2F142C" w:rsidTr="00D064EE">
        <w:trPr>
          <w:trHeight w:val="450"/>
        </w:trPr>
        <w:tc>
          <w:tcPr>
            <w:tcW w:w="2920" w:type="dxa"/>
            <w:tcBorders>
              <w:top w:val="nil"/>
              <w:left w:val="single" w:sz="4" w:space="0" w:color="auto"/>
              <w:bottom w:val="single" w:sz="4" w:space="0" w:color="auto"/>
              <w:right w:val="single" w:sz="4" w:space="0" w:color="auto"/>
            </w:tcBorders>
            <w:shd w:val="clear" w:color="DCE6F1" w:fill="DCE6F1"/>
            <w:vAlign w:val="center"/>
          </w:tcPr>
          <w:p w14:paraId="438DFFCF" w14:textId="77777777" w:rsidR="00D064EE" w:rsidRPr="00BA0A75" w:rsidRDefault="00D064EE" w:rsidP="00AF3086">
            <w:pPr>
              <w:rPr>
                <w:rFonts w:ascii="Calibri" w:hAnsi="Calibri" w:cs="Calibri"/>
                <w:b/>
                <w:bCs/>
                <w:color w:val="000000"/>
                <w:sz w:val="16"/>
                <w:szCs w:val="16"/>
              </w:rPr>
            </w:pPr>
            <w:bookmarkStart w:id="1" w:name="_Hlk95468796"/>
          </w:p>
        </w:tc>
        <w:tc>
          <w:tcPr>
            <w:tcW w:w="2760" w:type="dxa"/>
            <w:gridSpan w:val="2"/>
            <w:tcBorders>
              <w:top w:val="nil"/>
              <w:left w:val="nil"/>
              <w:bottom w:val="single" w:sz="4" w:space="0" w:color="auto"/>
              <w:right w:val="single" w:sz="4" w:space="0" w:color="auto"/>
            </w:tcBorders>
            <w:shd w:val="clear" w:color="DCE6F1" w:fill="DCE6F1"/>
            <w:vAlign w:val="center"/>
          </w:tcPr>
          <w:p w14:paraId="0B5A8D28" w14:textId="77777777" w:rsidR="00D064EE" w:rsidRDefault="00D064EE" w:rsidP="00AF3086">
            <w:pPr>
              <w:rPr>
                <w:rFonts w:ascii="Calibri" w:hAnsi="Calibri" w:cs="Calibri"/>
                <w:b/>
                <w:bCs/>
                <w:color w:val="000000"/>
                <w:sz w:val="16"/>
                <w:szCs w:val="16"/>
              </w:rPr>
            </w:pPr>
          </w:p>
          <w:p w14:paraId="52EC09F3" w14:textId="2A3FA35D" w:rsidR="00D064EE" w:rsidRDefault="00D064EE" w:rsidP="00AF3086">
            <w:pPr>
              <w:rPr>
                <w:rFonts w:ascii="Calibri" w:hAnsi="Calibri" w:cs="Calibri"/>
                <w:b/>
                <w:bCs/>
                <w:color w:val="000000"/>
                <w:sz w:val="16"/>
                <w:szCs w:val="16"/>
              </w:rPr>
            </w:pPr>
            <w:r>
              <w:rPr>
                <w:rFonts w:ascii="Calibri" w:hAnsi="Calibri" w:cs="Calibri"/>
                <w:b/>
                <w:bCs/>
                <w:color w:val="000000"/>
                <w:sz w:val="16"/>
                <w:szCs w:val="16"/>
              </w:rPr>
              <w:t>January 2022</w:t>
            </w:r>
          </w:p>
        </w:tc>
      </w:tr>
      <w:tr w:rsidR="00D064EE" w:rsidRPr="00BA0A75" w14:paraId="32F89A5F" w14:textId="0AFC42F9" w:rsidTr="00D064EE">
        <w:trPr>
          <w:trHeight w:val="450"/>
        </w:trPr>
        <w:tc>
          <w:tcPr>
            <w:tcW w:w="2920" w:type="dxa"/>
            <w:tcBorders>
              <w:top w:val="nil"/>
              <w:left w:val="single" w:sz="4" w:space="0" w:color="auto"/>
              <w:bottom w:val="single" w:sz="4" w:space="0" w:color="auto"/>
              <w:right w:val="single" w:sz="4" w:space="0" w:color="auto"/>
            </w:tcBorders>
            <w:shd w:val="clear" w:color="DCE6F1" w:fill="DCE6F1"/>
            <w:vAlign w:val="center"/>
            <w:hideMark/>
          </w:tcPr>
          <w:p w14:paraId="01A6D395" w14:textId="77777777" w:rsidR="00D064EE" w:rsidRPr="00BA0A75" w:rsidRDefault="00D064EE" w:rsidP="00AF3086">
            <w:pPr>
              <w:rPr>
                <w:rFonts w:ascii="Calibri" w:hAnsi="Calibri" w:cs="Calibri"/>
                <w:b/>
                <w:bCs/>
                <w:color w:val="000000"/>
                <w:sz w:val="16"/>
                <w:szCs w:val="16"/>
              </w:rPr>
            </w:pPr>
            <w:r w:rsidRPr="00BA0A75">
              <w:rPr>
                <w:rFonts w:ascii="Calibri" w:hAnsi="Calibri" w:cs="Calibri"/>
                <w:b/>
                <w:bCs/>
                <w:color w:val="000000"/>
                <w:sz w:val="16"/>
                <w:szCs w:val="16"/>
              </w:rPr>
              <w:t>Unit</w:t>
            </w:r>
          </w:p>
        </w:tc>
        <w:tc>
          <w:tcPr>
            <w:tcW w:w="1380" w:type="dxa"/>
            <w:tcBorders>
              <w:top w:val="nil"/>
              <w:left w:val="nil"/>
              <w:bottom w:val="single" w:sz="4" w:space="0" w:color="auto"/>
              <w:right w:val="single" w:sz="4" w:space="0" w:color="auto"/>
            </w:tcBorders>
            <w:shd w:val="clear" w:color="DCE6F1" w:fill="DCE6F1"/>
            <w:vAlign w:val="center"/>
            <w:hideMark/>
          </w:tcPr>
          <w:p w14:paraId="780FA370" w14:textId="77777777" w:rsidR="00D064EE" w:rsidRPr="00BA0A75" w:rsidRDefault="00D064EE" w:rsidP="00AF3086">
            <w:pPr>
              <w:rPr>
                <w:rFonts w:ascii="Calibri" w:hAnsi="Calibri" w:cs="Calibri"/>
                <w:b/>
                <w:bCs/>
                <w:color w:val="000000"/>
                <w:sz w:val="16"/>
                <w:szCs w:val="16"/>
              </w:rPr>
            </w:pPr>
            <w:r>
              <w:rPr>
                <w:rFonts w:ascii="Calibri" w:hAnsi="Calibri" w:cs="Calibri"/>
                <w:b/>
                <w:bCs/>
                <w:color w:val="000000"/>
                <w:sz w:val="16"/>
                <w:szCs w:val="16"/>
              </w:rPr>
              <w:t>RN</w:t>
            </w:r>
          </w:p>
        </w:tc>
        <w:tc>
          <w:tcPr>
            <w:tcW w:w="1380" w:type="dxa"/>
            <w:tcBorders>
              <w:top w:val="nil"/>
              <w:left w:val="nil"/>
              <w:bottom w:val="single" w:sz="4" w:space="0" w:color="auto"/>
              <w:right w:val="single" w:sz="4" w:space="0" w:color="auto"/>
            </w:tcBorders>
            <w:shd w:val="clear" w:color="DCE6F1" w:fill="DCE6F1"/>
          </w:tcPr>
          <w:p w14:paraId="0A5093C1" w14:textId="77777777" w:rsidR="00D064EE" w:rsidRDefault="00D064EE" w:rsidP="00AF3086">
            <w:pPr>
              <w:rPr>
                <w:rFonts w:ascii="Calibri" w:hAnsi="Calibri" w:cs="Calibri"/>
                <w:b/>
                <w:bCs/>
                <w:color w:val="000000"/>
                <w:sz w:val="16"/>
                <w:szCs w:val="16"/>
              </w:rPr>
            </w:pPr>
          </w:p>
          <w:p w14:paraId="64401074" w14:textId="27174D00" w:rsidR="00D064EE" w:rsidRDefault="00D064EE" w:rsidP="00AF3086">
            <w:pPr>
              <w:rPr>
                <w:rFonts w:ascii="Calibri" w:hAnsi="Calibri" w:cs="Calibri"/>
                <w:b/>
                <w:bCs/>
                <w:color w:val="000000"/>
                <w:sz w:val="16"/>
                <w:szCs w:val="16"/>
              </w:rPr>
            </w:pPr>
            <w:r>
              <w:rPr>
                <w:rFonts w:ascii="Calibri" w:hAnsi="Calibri" w:cs="Calibri"/>
                <w:b/>
                <w:bCs/>
                <w:color w:val="000000"/>
                <w:sz w:val="16"/>
                <w:szCs w:val="16"/>
              </w:rPr>
              <w:t>HCA</w:t>
            </w:r>
          </w:p>
        </w:tc>
      </w:tr>
      <w:tr w:rsidR="00D064EE" w:rsidRPr="00BA0A75" w14:paraId="50663227" w14:textId="03F6673B"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646FB51"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Acute Cardiac Unit</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40CDE" w14:textId="0D715D81"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3.88</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4F54361" w14:textId="59E7B847" w:rsidR="00D064EE" w:rsidRDefault="00D064EE" w:rsidP="00D064EE">
            <w:pPr>
              <w:rPr>
                <w:rFonts w:ascii="Calibri" w:hAnsi="Calibri" w:cs="Calibri"/>
                <w:color w:val="000000"/>
                <w:sz w:val="16"/>
                <w:szCs w:val="16"/>
              </w:rPr>
            </w:pPr>
            <w:r>
              <w:rPr>
                <w:rFonts w:ascii="Calibri" w:hAnsi="Calibri" w:cs="Calibri"/>
                <w:color w:val="000000"/>
                <w:sz w:val="16"/>
                <w:szCs w:val="16"/>
              </w:rPr>
              <w:t>-1.71</w:t>
            </w:r>
          </w:p>
        </w:tc>
      </w:tr>
      <w:tr w:rsidR="00D064EE" w:rsidRPr="00BA0A75" w14:paraId="6253D168" w14:textId="068D3FF7"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B9ED3D6"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Birch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731B87F" w14:textId="5A3E80C6"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4.37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63EFED" w14:textId="64F6CC00" w:rsidR="00D064EE" w:rsidRDefault="00D064EE" w:rsidP="00D064EE">
            <w:pPr>
              <w:rPr>
                <w:rFonts w:ascii="Calibri" w:hAnsi="Calibri" w:cs="Calibri"/>
                <w:color w:val="000000"/>
                <w:sz w:val="16"/>
                <w:szCs w:val="16"/>
              </w:rPr>
            </w:pPr>
            <w:r>
              <w:rPr>
                <w:rFonts w:ascii="Calibri" w:hAnsi="Calibri" w:cs="Calibri"/>
                <w:color w:val="000000"/>
                <w:sz w:val="16"/>
                <w:szCs w:val="16"/>
              </w:rPr>
              <w:t>-0.16</w:t>
            </w:r>
          </w:p>
        </w:tc>
      </w:tr>
      <w:tr w:rsidR="00D064EE" w:rsidRPr="00BA0A75" w14:paraId="299679DC" w14:textId="48702F2E"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4957100"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Cath Lab</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341CEE42" w14:textId="4D48760F"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0.81</w:t>
            </w:r>
          </w:p>
        </w:tc>
        <w:tc>
          <w:tcPr>
            <w:tcW w:w="1380" w:type="dxa"/>
            <w:tcBorders>
              <w:top w:val="nil"/>
              <w:left w:val="single" w:sz="4" w:space="0" w:color="auto"/>
              <w:bottom w:val="single" w:sz="4" w:space="0" w:color="auto"/>
              <w:right w:val="single" w:sz="4" w:space="0" w:color="auto"/>
            </w:tcBorders>
            <w:shd w:val="clear" w:color="auto" w:fill="auto"/>
            <w:vAlign w:val="center"/>
          </w:tcPr>
          <w:p w14:paraId="3B9C8BCC" w14:textId="0672BF24" w:rsidR="00D064EE" w:rsidRDefault="00D064EE" w:rsidP="00D064EE">
            <w:pPr>
              <w:rPr>
                <w:rFonts w:ascii="Calibri" w:hAnsi="Calibri" w:cs="Calibri"/>
                <w:color w:val="000000"/>
                <w:sz w:val="16"/>
                <w:szCs w:val="16"/>
              </w:rPr>
            </w:pPr>
            <w:r>
              <w:rPr>
                <w:rFonts w:ascii="Calibri" w:hAnsi="Calibri" w:cs="Calibri"/>
                <w:color w:val="000000"/>
                <w:sz w:val="16"/>
                <w:szCs w:val="16"/>
              </w:rPr>
              <w:t>0</w:t>
            </w:r>
          </w:p>
        </w:tc>
      </w:tr>
      <w:tr w:rsidR="00D064EE" w:rsidRPr="00BA0A75" w14:paraId="18ED9289" w14:textId="221EED59"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0CCDB9E0"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Cedar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B608EC1" w14:textId="6612CF1F"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3.8</w:t>
            </w:r>
          </w:p>
        </w:tc>
        <w:tc>
          <w:tcPr>
            <w:tcW w:w="1380" w:type="dxa"/>
            <w:tcBorders>
              <w:top w:val="nil"/>
              <w:left w:val="single" w:sz="4" w:space="0" w:color="auto"/>
              <w:bottom w:val="single" w:sz="4" w:space="0" w:color="auto"/>
              <w:right w:val="single" w:sz="4" w:space="0" w:color="auto"/>
            </w:tcBorders>
            <w:shd w:val="clear" w:color="auto" w:fill="auto"/>
            <w:vAlign w:val="center"/>
          </w:tcPr>
          <w:p w14:paraId="022D54C5" w14:textId="6A37330C" w:rsidR="00D064EE" w:rsidRDefault="00D064EE" w:rsidP="00D064EE">
            <w:pPr>
              <w:rPr>
                <w:rFonts w:ascii="Calibri" w:hAnsi="Calibri" w:cs="Calibri"/>
                <w:color w:val="000000"/>
                <w:sz w:val="16"/>
                <w:szCs w:val="16"/>
              </w:rPr>
            </w:pPr>
            <w:r>
              <w:rPr>
                <w:rFonts w:ascii="Calibri" w:hAnsi="Calibri" w:cs="Calibri"/>
                <w:color w:val="000000"/>
                <w:sz w:val="16"/>
                <w:szCs w:val="16"/>
              </w:rPr>
              <w:t>0.05</w:t>
            </w:r>
          </w:p>
        </w:tc>
      </w:tr>
      <w:tr w:rsidR="00D064EE" w:rsidRPr="00BA0A75" w14:paraId="1525395F" w14:textId="4423E644"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D1B556D"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Cherry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CA937A0" w14:textId="01F46016"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1.3</w:t>
            </w:r>
          </w:p>
        </w:tc>
        <w:tc>
          <w:tcPr>
            <w:tcW w:w="1380" w:type="dxa"/>
            <w:tcBorders>
              <w:top w:val="nil"/>
              <w:left w:val="single" w:sz="4" w:space="0" w:color="auto"/>
              <w:bottom w:val="single" w:sz="4" w:space="0" w:color="auto"/>
              <w:right w:val="single" w:sz="4" w:space="0" w:color="auto"/>
            </w:tcBorders>
            <w:shd w:val="clear" w:color="auto" w:fill="auto"/>
            <w:vAlign w:val="center"/>
          </w:tcPr>
          <w:p w14:paraId="188CC89E" w14:textId="5130B65E" w:rsidR="00D064EE" w:rsidRDefault="00D064EE" w:rsidP="00D064EE">
            <w:pPr>
              <w:rPr>
                <w:rFonts w:ascii="Calibri" w:hAnsi="Calibri" w:cs="Calibri"/>
                <w:color w:val="000000"/>
                <w:sz w:val="16"/>
                <w:szCs w:val="16"/>
              </w:rPr>
            </w:pPr>
            <w:r>
              <w:rPr>
                <w:rFonts w:ascii="Calibri" w:hAnsi="Calibri" w:cs="Calibri"/>
                <w:color w:val="000000"/>
                <w:sz w:val="16"/>
                <w:szCs w:val="16"/>
              </w:rPr>
              <w:t>-0.8</w:t>
            </w:r>
          </w:p>
        </w:tc>
      </w:tr>
      <w:tr w:rsidR="00D064EE" w:rsidRPr="00BA0A75" w14:paraId="5411B9C7" w14:textId="7A025244"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016BB9D"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Holly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3286887" w14:textId="644B4779"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1.21</w:t>
            </w:r>
          </w:p>
        </w:tc>
        <w:tc>
          <w:tcPr>
            <w:tcW w:w="1380" w:type="dxa"/>
            <w:tcBorders>
              <w:top w:val="nil"/>
              <w:left w:val="single" w:sz="4" w:space="0" w:color="auto"/>
              <w:bottom w:val="single" w:sz="4" w:space="0" w:color="auto"/>
              <w:right w:val="single" w:sz="4" w:space="0" w:color="auto"/>
            </w:tcBorders>
            <w:shd w:val="clear" w:color="auto" w:fill="auto"/>
            <w:vAlign w:val="center"/>
          </w:tcPr>
          <w:p w14:paraId="4F5442D3" w14:textId="75291C86" w:rsidR="00D064EE" w:rsidRDefault="00D064EE" w:rsidP="00D064EE">
            <w:pPr>
              <w:rPr>
                <w:rFonts w:ascii="Calibri" w:hAnsi="Calibri" w:cs="Calibri"/>
                <w:color w:val="000000"/>
                <w:sz w:val="16"/>
                <w:szCs w:val="16"/>
              </w:rPr>
            </w:pPr>
            <w:r>
              <w:rPr>
                <w:rFonts w:ascii="Calibri" w:hAnsi="Calibri" w:cs="Calibri"/>
                <w:color w:val="000000"/>
                <w:sz w:val="16"/>
                <w:szCs w:val="16"/>
              </w:rPr>
              <w:t>-2</w:t>
            </w:r>
          </w:p>
        </w:tc>
      </w:tr>
      <w:tr w:rsidR="00D064EE" w:rsidRPr="00BA0A75" w14:paraId="78B3C802" w14:textId="14B3A10C"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710DDAF"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Maple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D156CF8" w14:textId="5BD51F07"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-1.43</w:t>
            </w:r>
          </w:p>
        </w:tc>
        <w:tc>
          <w:tcPr>
            <w:tcW w:w="1380" w:type="dxa"/>
            <w:tcBorders>
              <w:top w:val="nil"/>
              <w:left w:val="single" w:sz="4" w:space="0" w:color="auto"/>
              <w:bottom w:val="single" w:sz="4" w:space="0" w:color="auto"/>
              <w:right w:val="single" w:sz="4" w:space="0" w:color="auto"/>
            </w:tcBorders>
            <w:shd w:val="clear" w:color="auto" w:fill="auto"/>
            <w:vAlign w:val="center"/>
          </w:tcPr>
          <w:p w14:paraId="5351B6E8" w14:textId="1A296F55" w:rsidR="00D064EE" w:rsidRDefault="00D064EE" w:rsidP="00D064EE">
            <w:pPr>
              <w:rPr>
                <w:rFonts w:ascii="Calibri" w:hAnsi="Calibri" w:cs="Calibri"/>
                <w:color w:val="000000"/>
                <w:sz w:val="16"/>
                <w:szCs w:val="16"/>
              </w:rPr>
            </w:pPr>
            <w:r>
              <w:rPr>
                <w:rFonts w:ascii="Calibri" w:hAnsi="Calibri" w:cs="Calibri"/>
                <w:color w:val="000000"/>
                <w:sz w:val="16"/>
                <w:szCs w:val="16"/>
              </w:rPr>
              <w:t>-2.81</w:t>
            </w:r>
          </w:p>
        </w:tc>
      </w:tr>
      <w:tr w:rsidR="00D064EE" w:rsidRPr="00BA0A75" w14:paraId="4D28BBE2" w14:textId="1650B6F9"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40CF65B"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Oak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053BDD4" w14:textId="14E2EAFD"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-1.39</w:t>
            </w:r>
          </w:p>
        </w:tc>
        <w:tc>
          <w:tcPr>
            <w:tcW w:w="1380" w:type="dxa"/>
            <w:tcBorders>
              <w:top w:val="nil"/>
              <w:left w:val="single" w:sz="4" w:space="0" w:color="auto"/>
              <w:bottom w:val="single" w:sz="4" w:space="0" w:color="auto"/>
              <w:right w:val="single" w:sz="4" w:space="0" w:color="auto"/>
            </w:tcBorders>
            <w:shd w:val="clear" w:color="auto" w:fill="auto"/>
            <w:vAlign w:val="center"/>
          </w:tcPr>
          <w:p w14:paraId="1535447D" w14:textId="30B4BAB8" w:rsidR="00D064EE" w:rsidRDefault="00D064EE" w:rsidP="00D064EE">
            <w:pPr>
              <w:rPr>
                <w:rFonts w:ascii="Calibri" w:hAnsi="Calibri" w:cs="Calibri"/>
                <w:color w:val="000000"/>
                <w:sz w:val="16"/>
                <w:szCs w:val="16"/>
              </w:rPr>
            </w:pPr>
            <w:r>
              <w:rPr>
                <w:rFonts w:ascii="Calibri" w:hAnsi="Calibri" w:cs="Calibri"/>
                <w:color w:val="000000"/>
                <w:sz w:val="16"/>
                <w:szCs w:val="16"/>
              </w:rPr>
              <w:t>3.15</w:t>
            </w:r>
          </w:p>
        </w:tc>
      </w:tr>
      <w:tr w:rsidR="00D064EE" w:rsidRPr="00BA0A75" w14:paraId="6BE90CC6" w14:textId="527B921A"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EBCA36C"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Outpatients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5D6234E" w14:textId="0492B54D"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0.69</w:t>
            </w:r>
          </w:p>
        </w:tc>
        <w:tc>
          <w:tcPr>
            <w:tcW w:w="1380" w:type="dxa"/>
            <w:tcBorders>
              <w:top w:val="nil"/>
              <w:left w:val="single" w:sz="4" w:space="0" w:color="auto"/>
              <w:bottom w:val="single" w:sz="4" w:space="0" w:color="auto"/>
              <w:right w:val="single" w:sz="4" w:space="0" w:color="auto"/>
            </w:tcBorders>
            <w:shd w:val="clear" w:color="auto" w:fill="auto"/>
            <w:vAlign w:val="center"/>
          </w:tcPr>
          <w:p w14:paraId="578C6946" w14:textId="65EBE139" w:rsidR="00D064EE" w:rsidRDefault="00D064EE" w:rsidP="00D064EE">
            <w:pPr>
              <w:rPr>
                <w:rFonts w:ascii="Calibri" w:hAnsi="Calibri" w:cs="Calibri"/>
                <w:color w:val="000000"/>
                <w:sz w:val="16"/>
                <w:szCs w:val="16"/>
              </w:rPr>
            </w:pPr>
            <w:r>
              <w:rPr>
                <w:rFonts w:ascii="Calibri" w:hAnsi="Calibri" w:cs="Calibri"/>
                <w:color w:val="000000"/>
                <w:sz w:val="16"/>
                <w:szCs w:val="16"/>
              </w:rPr>
              <w:t>0</w:t>
            </w:r>
          </w:p>
        </w:tc>
      </w:tr>
      <w:tr w:rsidR="00D064EE" w:rsidRPr="00BA0A75" w14:paraId="308D7ECA" w14:textId="59F79470"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69C061B"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Rowan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AA33585" w14:textId="7F4F61FD"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-1.29</w:t>
            </w:r>
          </w:p>
        </w:tc>
        <w:tc>
          <w:tcPr>
            <w:tcW w:w="1380" w:type="dxa"/>
            <w:tcBorders>
              <w:top w:val="nil"/>
              <w:left w:val="single" w:sz="4" w:space="0" w:color="auto"/>
              <w:bottom w:val="single" w:sz="4" w:space="0" w:color="auto"/>
              <w:right w:val="single" w:sz="4" w:space="0" w:color="auto"/>
            </w:tcBorders>
            <w:shd w:val="clear" w:color="auto" w:fill="auto"/>
            <w:vAlign w:val="center"/>
          </w:tcPr>
          <w:p w14:paraId="27E8CD1C" w14:textId="2DE6B1CB" w:rsidR="00D064EE" w:rsidRDefault="00D064EE" w:rsidP="00D064EE">
            <w:pPr>
              <w:rPr>
                <w:rFonts w:ascii="Calibri" w:hAnsi="Calibri" w:cs="Calibri"/>
                <w:color w:val="000000"/>
                <w:sz w:val="16"/>
                <w:szCs w:val="16"/>
              </w:rPr>
            </w:pPr>
            <w:r>
              <w:rPr>
                <w:rFonts w:ascii="Calibri" w:hAnsi="Calibri" w:cs="Calibri"/>
                <w:color w:val="000000"/>
                <w:sz w:val="16"/>
                <w:szCs w:val="16"/>
              </w:rPr>
              <w:t>-0.99</w:t>
            </w:r>
          </w:p>
        </w:tc>
      </w:tr>
      <w:tr w:rsidR="00D064EE" w:rsidRPr="00BA0A75" w14:paraId="0398196D" w14:textId="34F69F6E"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3F45E97E"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SICU Clinical Roster</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781B6601" w14:textId="77485737"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18.66</w:t>
            </w:r>
          </w:p>
        </w:tc>
        <w:tc>
          <w:tcPr>
            <w:tcW w:w="1380" w:type="dxa"/>
            <w:tcBorders>
              <w:top w:val="nil"/>
              <w:left w:val="single" w:sz="4" w:space="0" w:color="auto"/>
              <w:bottom w:val="single" w:sz="4" w:space="0" w:color="auto"/>
              <w:right w:val="single" w:sz="4" w:space="0" w:color="auto"/>
            </w:tcBorders>
            <w:shd w:val="clear" w:color="auto" w:fill="auto"/>
            <w:vAlign w:val="center"/>
          </w:tcPr>
          <w:p w14:paraId="1E260CEA" w14:textId="4E1E4ABA" w:rsidR="00D064EE" w:rsidRDefault="00D064EE" w:rsidP="00D064EE">
            <w:pPr>
              <w:rPr>
                <w:rFonts w:ascii="Calibri" w:hAnsi="Calibri" w:cs="Calibri"/>
                <w:color w:val="000000"/>
                <w:sz w:val="16"/>
                <w:szCs w:val="16"/>
              </w:rPr>
            </w:pPr>
            <w:r>
              <w:rPr>
                <w:rFonts w:ascii="Calibri" w:hAnsi="Calibri" w:cs="Calibri"/>
                <w:color w:val="000000"/>
                <w:sz w:val="16"/>
                <w:szCs w:val="16"/>
              </w:rPr>
              <w:t>0.83</w:t>
            </w:r>
          </w:p>
        </w:tc>
      </w:tr>
      <w:tr w:rsidR="00D064EE" w:rsidRPr="00BA0A75" w14:paraId="1DAAA14F" w14:textId="1591CF06" w:rsidTr="00D064EE">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D141501" w14:textId="77777777" w:rsidR="00D064EE" w:rsidRPr="00BA0A75" w:rsidRDefault="00D064EE" w:rsidP="00D064EE">
            <w:pPr>
              <w:rPr>
                <w:rFonts w:ascii="Calibri" w:hAnsi="Calibri" w:cs="Calibri"/>
                <w:color w:val="000000"/>
                <w:sz w:val="16"/>
                <w:szCs w:val="16"/>
              </w:rPr>
            </w:pPr>
            <w:r w:rsidRPr="00BA0A75">
              <w:rPr>
                <w:rFonts w:ascii="Calibri" w:hAnsi="Calibri" w:cs="Calibri"/>
                <w:color w:val="000000"/>
                <w:sz w:val="16"/>
                <w:szCs w:val="16"/>
              </w:rPr>
              <w:t>Theatres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0676C03A" w14:textId="136841FE" w:rsidR="00D064EE" w:rsidRPr="00BA0A75" w:rsidRDefault="00D064EE" w:rsidP="00D064EE">
            <w:pPr>
              <w:rPr>
                <w:rFonts w:ascii="Calibri" w:hAnsi="Calibri" w:cs="Calibri"/>
                <w:color w:val="000000"/>
                <w:sz w:val="16"/>
                <w:szCs w:val="16"/>
              </w:rPr>
            </w:pPr>
            <w:r>
              <w:rPr>
                <w:rFonts w:ascii="Calibri" w:hAnsi="Calibri" w:cs="Calibri"/>
                <w:color w:val="000000"/>
                <w:sz w:val="16"/>
                <w:szCs w:val="16"/>
              </w:rPr>
              <w:t>11.7</w:t>
            </w:r>
          </w:p>
        </w:tc>
        <w:tc>
          <w:tcPr>
            <w:tcW w:w="1380" w:type="dxa"/>
            <w:tcBorders>
              <w:top w:val="nil"/>
              <w:left w:val="single" w:sz="4" w:space="0" w:color="auto"/>
              <w:bottom w:val="single" w:sz="4" w:space="0" w:color="auto"/>
              <w:right w:val="single" w:sz="4" w:space="0" w:color="auto"/>
            </w:tcBorders>
            <w:shd w:val="clear" w:color="auto" w:fill="auto"/>
            <w:vAlign w:val="center"/>
          </w:tcPr>
          <w:p w14:paraId="4A8C185D" w14:textId="6D2C784A" w:rsidR="00D064EE" w:rsidRDefault="00D064EE" w:rsidP="00D064EE">
            <w:pPr>
              <w:rPr>
                <w:rFonts w:ascii="Calibri" w:hAnsi="Calibri" w:cs="Calibri"/>
                <w:color w:val="000000"/>
                <w:sz w:val="16"/>
                <w:szCs w:val="16"/>
              </w:rPr>
            </w:pPr>
            <w:r>
              <w:rPr>
                <w:rFonts w:ascii="Calibri" w:hAnsi="Calibri" w:cs="Calibri"/>
                <w:color w:val="000000"/>
                <w:sz w:val="16"/>
                <w:szCs w:val="16"/>
              </w:rPr>
              <w:t>0.05</w:t>
            </w:r>
          </w:p>
        </w:tc>
      </w:tr>
      <w:tr w:rsidR="00D064EE" w:rsidRPr="00BA0A75" w14:paraId="345C0940" w14:textId="7BA2091D" w:rsidTr="00D064EE">
        <w:trPr>
          <w:trHeight w:val="300"/>
        </w:trPr>
        <w:tc>
          <w:tcPr>
            <w:tcW w:w="292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5FB1F74" w14:textId="77777777" w:rsidR="00D064EE" w:rsidRPr="003768BC" w:rsidRDefault="00D064EE" w:rsidP="00D064EE">
            <w:pPr>
              <w:rPr>
                <w:rFonts w:ascii="Calibri" w:hAnsi="Calibri" w:cs="Calibri"/>
                <w:b/>
                <w:bCs/>
                <w:sz w:val="16"/>
                <w:szCs w:val="16"/>
              </w:rPr>
            </w:pPr>
            <w:r w:rsidRPr="003768BC">
              <w:rPr>
                <w:rFonts w:ascii="Calibri" w:hAnsi="Calibri" w:cs="Calibri"/>
                <w:b/>
                <w:bCs/>
                <w:sz w:val="16"/>
                <w:szCs w:val="16"/>
              </w:rPr>
              <w:t>Grand Total</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DF2711D" w14:textId="488C7371" w:rsidR="00D064EE" w:rsidRPr="003768BC" w:rsidRDefault="00D064EE" w:rsidP="00D064EE">
            <w:pPr>
              <w:rPr>
                <w:rFonts w:ascii="Calibri" w:hAnsi="Calibri" w:cs="Calibri"/>
                <w:b/>
                <w:bCs/>
                <w:sz w:val="16"/>
                <w:szCs w:val="16"/>
              </w:rPr>
            </w:pPr>
            <w:r>
              <w:rPr>
                <w:rFonts w:ascii="Calibri" w:hAnsi="Calibri" w:cs="Calibri"/>
                <w:b/>
                <w:bCs/>
                <w:sz w:val="16"/>
                <w:szCs w:val="16"/>
              </w:rPr>
              <w:t>42.31</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4BCB8487" w14:textId="165023B2" w:rsidR="00D064EE" w:rsidRPr="003768BC" w:rsidRDefault="00D064EE" w:rsidP="00D064EE">
            <w:pPr>
              <w:rPr>
                <w:rFonts w:ascii="Calibri" w:hAnsi="Calibri" w:cs="Calibri"/>
                <w:b/>
                <w:bCs/>
                <w:sz w:val="16"/>
                <w:szCs w:val="16"/>
              </w:rPr>
            </w:pPr>
            <w:r>
              <w:rPr>
                <w:rFonts w:ascii="Calibri" w:hAnsi="Calibri" w:cs="Calibri"/>
                <w:b/>
                <w:bCs/>
                <w:color w:val="000000"/>
                <w:sz w:val="16"/>
                <w:szCs w:val="16"/>
              </w:rPr>
              <w:t>-4.39</w:t>
            </w:r>
          </w:p>
        </w:tc>
      </w:tr>
      <w:bookmarkEnd w:id="0"/>
      <w:bookmarkEnd w:id="1"/>
    </w:tbl>
    <w:p w14:paraId="49DBB8DC" w14:textId="77777777" w:rsidR="007776BE" w:rsidRDefault="007776BE" w:rsidP="00AF3086"/>
    <w:p w14:paraId="05579A9C" w14:textId="03ECB68A" w:rsidR="00A9334C" w:rsidRPr="008E0BB3" w:rsidRDefault="003F74FD" w:rsidP="00AF3086">
      <w:r w:rsidRPr="008E0BB3">
        <w:t>The first cohort</w:t>
      </w:r>
      <w:r w:rsidR="008F50A5" w:rsidRPr="008E0BB3">
        <w:t>s</w:t>
      </w:r>
      <w:r w:rsidRPr="008E0BB3">
        <w:t xml:space="preserve"> of international RNs </w:t>
      </w:r>
      <w:r w:rsidR="008F50A5" w:rsidRPr="008E0BB3">
        <w:t>(</w:t>
      </w:r>
      <w:r w:rsidR="004A36EE" w:rsidRPr="008E0BB3">
        <w:t>2</w:t>
      </w:r>
      <w:r w:rsidR="008E0BB3" w:rsidRPr="008E0BB3">
        <w:t>5</w:t>
      </w:r>
      <w:r w:rsidR="008F50A5" w:rsidRPr="008E0BB3">
        <w:t xml:space="preserve">) </w:t>
      </w:r>
      <w:r w:rsidRPr="008E0BB3">
        <w:t>have</w:t>
      </w:r>
      <w:r w:rsidR="00C524AE" w:rsidRPr="008E0BB3">
        <w:t xml:space="preserve"> successfully completed</w:t>
      </w:r>
      <w:r w:rsidRPr="008E0BB3">
        <w:t xml:space="preserve"> </w:t>
      </w:r>
      <w:r w:rsidR="008F50A5" w:rsidRPr="008E0BB3">
        <w:t>their OSCE training</w:t>
      </w:r>
      <w:r w:rsidR="00C524AE" w:rsidRPr="008E0BB3">
        <w:t xml:space="preserve"> and all passed the OSCE exam </w:t>
      </w:r>
      <w:r w:rsidR="00B92FC1" w:rsidRPr="008E0BB3">
        <w:t xml:space="preserve">and are now registered with the NMC. </w:t>
      </w:r>
      <w:r w:rsidR="00C524AE" w:rsidRPr="008E0BB3">
        <w:t>Thes</w:t>
      </w:r>
      <w:r w:rsidR="00BD2C6E" w:rsidRPr="008E0BB3">
        <w:t>e</w:t>
      </w:r>
      <w:r w:rsidR="00C524AE" w:rsidRPr="008E0BB3">
        <w:t xml:space="preserve"> staff </w:t>
      </w:r>
      <w:r w:rsidR="00A9334C" w:rsidRPr="008E0BB3">
        <w:t xml:space="preserve">are now working </w:t>
      </w:r>
      <w:r w:rsidR="00D1254C" w:rsidRPr="008E0BB3">
        <w:t>in band</w:t>
      </w:r>
      <w:r w:rsidR="00B92FC1" w:rsidRPr="008E0BB3">
        <w:t xml:space="preserve"> 5 </w:t>
      </w:r>
      <w:r w:rsidR="00954AD1" w:rsidRPr="008E0BB3">
        <w:t>positions</w:t>
      </w:r>
      <w:r w:rsidR="00A9334C" w:rsidRPr="008E0BB3">
        <w:t xml:space="preserve"> and have proved invaluable support to the clinical teams.</w:t>
      </w:r>
      <w:r w:rsidR="008E0BB3" w:rsidRPr="008E0BB3">
        <w:t xml:space="preserve"> </w:t>
      </w:r>
      <w:r w:rsidR="00A9334C" w:rsidRPr="008E0BB3">
        <w:t>T</w:t>
      </w:r>
      <w:r w:rsidR="00F409A6" w:rsidRPr="008E0BB3">
        <w:t>hrough</w:t>
      </w:r>
      <w:r w:rsidR="00A9334C" w:rsidRPr="008E0BB3">
        <w:t xml:space="preserve"> </w:t>
      </w:r>
      <w:r w:rsidR="00F409A6" w:rsidRPr="008E0BB3">
        <w:t>the Pan-Mersey collaborative</w:t>
      </w:r>
      <w:r w:rsidR="00A9334C" w:rsidRPr="008E0BB3">
        <w:t xml:space="preserve"> 22 nurses </w:t>
      </w:r>
      <w:r w:rsidR="008E0BB3" w:rsidRPr="008E0BB3">
        <w:t xml:space="preserve">who </w:t>
      </w:r>
      <w:r w:rsidR="00A9334C" w:rsidRPr="008E0BB3">
        <w:t xml:space="preserve">arrived during December, </w:t>
      </w:r>
      <w:r w:rsidR="008E0BB3" w:rsidRPr="008E0BB3">
        <w:t>have commenced</w:t>
      </w:r>
      <w:r w:rsidR="00A9334C" w:rsidRPr="008E0BB3">
        <w:t xml:space="preserve"> their OSCE training in January</w:t>
      </w:r>
      <w:r w:rsidR="008E0BB3" w:rsidRPr="008E0BB3">
        <w:t>. Unfortunately, national OSCE exam availability is not sufficient at present and there is a risk that these nurses may have a delayed exam date. This is being escalated through the Pan Mersey collaborative to the national team.</w:t>
      </w:r>
    </w:p>
    <w:p w14:paraId="33792BB4" w14:textId="308D5C32" w:rsidR="003F74FD" w:rsidRDefault="008E0BB3" w:rsidP="00AF3086">
      <w:r w:rsidRPr="008E0BB3">
        <w:t>All 20</w:t>
      </w:r>
      <w:r w:rsidR="00A9334C" w:rsidRPr="008E0BB3">
        <w:t xml:space="preserve"> nurses via the </w:t>
      </w:r>
      <w:r w:rsidR="007C38AB" w:rsidRPr="008E0BB3">
        <w:t xml:space="preserve">Cheshire International </w:t>
      </w:r>
      <w:r w:rsidR="00F409A6" w:rsidRPr="008E0BB3">
        <w:t>R</w:t>
      </w:r>
      <w:r w:rsidR="007C38AB" w:rsidRPr="008E0BB3">
        <w:t>ecruitment Collaborative (CIRC</w:t>
      </w:r>
      <w:r w:rsidR="00CD472E" w:rsidRPr="008E0BB3">
        <w:t>)</w:t>
      </w:r>
      <w:r w:rsidR="00A9334C" w:rsidRPr="008E0BB3">
        <w:t xml:space="preserve"> </w:t>
      </w:r>
      <w:r w:rsidRPr="008E0BB3">
        <w:t>are now in post</w:t>
      </w:r>
      <w:r w:rsidR="00A9334C" w:rsidRPr="008E0BB3">
        <w:t xml:space="preserve"> at LHCH</w:t>
      </w:r>
      <w:r w:rsidRPr="008E0BB3">
        <w:t>. 5 nurses to date are awaiting OSCE exam re-sit and are therefore not yet in a band 5 position.</w:t>
      </w:r>
    </w:p>
    <w:p w14:paraId="055065FD" w14:textId="77777777" w:rsidR="00A9334C" w:rsidRDefault="00A9334C" w:rsidP="00AF3086"/>
    <w:p w14:paraId="26143F0D" w14:textId="77777777" w:rsidR="00262E72" w:rsidRDefault="00262E72" w:rsidP="00AF3086"/>
    <w:p w14:paraId="4C6E9EBD" w14:textId="14DC0461" w:rsidR="00262E72" w:rsidRDefault="00CD472E" w:rsidP="00262E72">
      <w:r w:rsidRPr="00CF3C95">
        <w:t>Considering</w:t>
      </w:r>
      <w:r w:rsidR="00262E72" w:rsidRPr="00CF3C95">
        <w:t xml:space="preserve"> the current rate of band 5 turnover and the information regarding recruitment challenges nationally, further international recruitment </w:t>
      </w:r>
      <w:r w:rsidR="00F409A6" w:rsidRPr="00CF3C95">
        <w:t xml:space="preserve">to take place in 2022 </w:t>
      </w:r>
      <w:r w:rsidR="00262E72" w:rsidRPr="00CF3C95">
        <w:t xml:space="preserve">has been </w:t>
      </w:r>
      <w:r w:rsidR="00A9334C">
        <w:t>approved and i</w:t>
      </w:r>
      <w:r w:rsidR="00D064EE">
        <w:t xml:space="preserve">nterviews for </w:t>
      </w:r>
      <w:r w:rsidR="00A9334C">
        <w:t>international recruitment pla</w:t>
      </w:r>
      <w:r w:rsidR="00D064EE">
        <w:t>ns are taking place during February.</w:t>
      </w:r>
    </w:p>
    <w:p w14:paraId="11A60A57" w14:textId="490CF545" w:rsidR="00F60447" w:rsidRPr="00CF3C95" w:rsidRDefault="00F60447" w:rsidP="00262E72">
      <w:r>
        <w:t>A significant proportion of the international nurses already recruited, have critical care skills and the critical care manager is developing a plan to ensure that they can rotate into the unit to maintain their clinical skills and to be ready to support the area if necessary in the future.</w:t>
      </w:r>
    </w:p>
    <w:p w14:paraId="66B638EE" w14:textId="77B2F865" w:rsidR="002D5ABC" w:rsidRPr="00CF3C95" w:rsidRDefault="002D5ABC" w:rsidP="00AF3086"/>
    <w:p w14:paraId="3F02612A" w14:textId="1657961C" w:rsidR="00A9334C" w:rsidRDefault="00D064EE" w:rsidP="00AF3086">
      <w:r>
        <w:t xml:space="preserve">A </w:t>
      </w:r>
      <w:r w:rsidR="00DA5DE3">
        <w:t xml:space="preserve">successful </w:t>
      </w:r>
      <w:r>
        <w:t xml:space="preserve">virtual </w:t>
      </w:r>
      <w:r w:rsidR="00A9334C">
        <w:t>recruitment event at LHCH</w:t>
      </w:r>
      <w:r>
        <w:t xml:space="preserve"> was h</w:t>
      </w:r>
      <w:r w:rsidR="00DA5DE3">
        <w:t>el</w:t>
      </w:r>
      <w:r>
        <w:t>d in January, supported by the senior nursing, education &amp; HR teams and 25 offers of employment were made.</w:t>
      </w:r>
    </w:p>
    <w:p w14:paraId="04F0B9EA" w14:textId="77777777" w:rsidR="00A9334C" w:rsidRDefault="00A9334C" w:rsidP="00AF3086"/>
    <w:p w14:paraId="10B6598E" w14:textId="50CC0C58" w:rsidR="007F545F" w:rsidRPr="00CF3C95" w:rsidRDefault="007F545F" w:rsidP="00AF3086">
      <w:pPr>
        <w:rPr>
          <w:b/>
          <w:bCs/>
        </w:rPr>
      </w:pPr>
      <w:r w:rsidRPr="00CF3C95">
        <w:rPr>
          <w:b/>
          <w:bCs/>
        </w:rPr>
        <w:t>3.</w:t>
      </w:r>
      <w:r w:rsidR="00357C1D" w:rsidRPr="00CF3C95">
        <w:rPr>
          <w:b/>
          <w:bCs/>
        </w:rPr>
        <w:t>2</w:t>
      </w:r>
      <w:r w:rsidRPr="00CF3C95">
        <w:rPr>
          <w:b/>
          <w:bCs/>
        </w:rPr>
        <w:t xml:space="preserve"> </w:t>
      </w:r>
      <w:r w:rsidR="007776BE" w:rsidRPr="00CF3C95">
        <w:rPr>
          <w:b/>
          <w:bCs/>
        </w:rPr>
        <w:t>Sickness</w:t>
      </w:r>
      <w:r w:rsidRPr="00CF3C95">
        <w:rPr>
          <w:b/>
          <w:bCs/>
        </w:rPr>
        <w:t xml:space="preserve"> Absence</w:t>
      </w:r>
    </w:p>
    <w:p w14:paraId="3E965921" w14:textId="77777777" w:rsidR="007F545F" w:rsidRPr="00CF3C95" w:rsidRDefault="007F545F" w:rsidP="00AF3086">
      <w:pPr>
        <w:rPr>
          <w:b/>
          <w:bCs/>
        </w:rPr>
      </w:pPr>
    </w:p>
    <w:p w14:paraId="28E617D6" w14:textId="5F79DB86" w:rsidR="007F545F" w:rsidRPr="00CF3C95" w:rsidRDefault="007F545F" w:rsidP="00AF3086">
      <w:r w:rsidRPr="00CF3C95">
        <w:t xml:space="preserve">During </w:t>
      </w:r>
      <w:r w:rsidR="00DA5DE3">
        <w:t>January 2022</w:t>
      </w:r>
      <w:r w:rsidRPr="00CF3C95">
        <w:t>,</w:t>
      </w:r>
      <w:r w:rsidR="00E97187" w:rsidRPr="00CF3C95">
        <w:t xml:space="preserve"> clinical areas continue to experience </w:t>
      </w:r>
      <w:r w:rsidR="006A3C56">
        <w:t xml:space="preserve">high </w:t>
      </w:r>
      <w:r w:rsidR="00E97187" w:rsidRPr="00CF3C95">
        <w:t xml:space="preserve">sickness </w:t>
      </w:r>
      <w:r w:rsidR="00E41E3B" w:rsidRPr="00CF3C95">
        <w:t>absence,</w:t>
      </w:r>
      <w:r w:rsidR="00E97187" w:rsidRPr="00CF3C95">
        <w:t xml:space="preserve"> </w:t>
      </w:r>
      <w:r w:rsidR="00A9334C">
        <w:t xml:space="preserve">with </w:t>
      </w:r>
      <w:r w:rsidR="00DA5DE3">
        <w:t xml:space="preserve">ongoing </w:t>
      </w:r>
      <w:r w:rsidR="00A9334C">
        <w:t>covid related sickness absence</w:t>
      </w:r>
      <w:r w:rsidR="00DA5DE3">
        <w:t>, impacting upon staffing levels.</w:t>
      </w:r>
    </w:p>
    <w:p w14:paraId="051992C2" w14:textId="77777777" w:rsidR="00AF3086" w:rsidRPr="00CF3C95" w:rsidRDefault="00AF3086" w:rsidP="00AF3086"/>
    <w:p w14:paraId="49EB3472" w14:textId="2F30FAFD" w:rsidR="00BE78FC" w:rsidRPr="00CF3C95" w:rsidRDefault="007776BE" w:rsidP="00AF3086">
      <w:pPr>
        <w:rPr>
          <w:b/>
          <w:bCs/>
        </w:rPr>
      </w:pPr>
      <w:r w:rsidRPr="00CF3C95">
        <w:rPr>
          <w:b/>
          <w:bCs/>
        </w:rPr>
        <w:t>Table 2- sickness absence data</w:t>
      </w:r>
    </w:p>
    <w:p w14:paraId="5F47E768" w14:textId="77777777" w:rsidR="007776BE" w:rsidRPr="00CF3C95" w:rsidRDefault="007776BE" w:rsidP="00AF3086"/>
    <w:tbl>
      <w:tblPr>
        <w:tblW w:w="5680" w:type="dxa"/>
        <w:tblInd w:w="113" w:type="dxa"/>
        <w:tblLook w:val="04A0" w:firstRow="1" w:lastRow="0" w:firstColumn="1" w:lastColumn="0" w:noHBand="0" w:noVBand="1"/>
      </w:tblPr>
      <w:tblGrid>
        <w:gridCol w:w="2920"/>
        <w:gridCol w:w="1380"/>
        <w:gridCol w:w="1380"/>
      </w:tblGrid>
      <w:tr w:rsidR="00DA5DE3" w:rsidRPr="00CF3C95" w14:paraId="6F91BC87" w14:textId="64931A4B" w:rsidTr="00DA5DE3">
        <w:trPr>
          <w:trHeight w:val="450"/>
        </w:trPr>
        <w:tc>
          <w:tcPr>
            <w:tcW w:w="2920" w:type="dxa"/>
            <w:tcBorders>
              <w:top w:val="single" w:sz="4" w:space="0" w:color="auto"/>
              <w:left w:val="single" w:sz="4" w:space="0" w:color="auto"/>
              <w:bottom w:val="single" w:sz="4" w:space="0" w:color="auto"/>
              <w:right w:val="single" w:sz="4" w:space="0" w:color="auto"/>
            </w:tcBorders>
            <w:shd w:val="clear" w:color="000000" w:fill="DCE6F1"/>
            <w:vAlign w:val="center"/>
          </w:tcPr>
          <w:p w14:paraId="7D0ACC22" w14:textId="77777777" w:rsidR="00DA5DE3" w:rsidRPr="00CF3C95" w:rsidRDefault="00DA5DE3" w:rsidP="00AF3086">
            <w:pPr>
              <w:rPr>
                <w:rFonts w:ascii="Calibri" w:hAnsi="Calibri" w:cs="Calibri"/>
                <w:b/>
                <w:bCs/>
                <w:color w:val="000000"/>
                <w:sz w:val="16"/>
                <w:szCs w:val="16"/>
              </w:rPr>
            </w:pPr>
          </w:p>
        </w:tc>
        <w:tc>
          <w:tcPr>
            <w:tcW w:w="2760" w:type="dxa"/>
            <w:gridSpan w:val="2"/>
            <w:tcBorders>
              <w:top w:val="single" w:sz="4" w:space="0" w:color="auto"/>
              <w:left w:val="nil"/>
              <w:bottom w:val="single" w:sz="4" w:space="0" w:color="auto"/>
              <w:right w:val="single" w:sz="4" w:space="0" w:color="auto"/>
            </w:tcBorders>
            <w:shd w:val="clear" w:color="000000" w:fill="DCE6F1"/>
            <w:vAlign w:val="center"/>
          </w:tcPr>
          <w:p w14:paraId="2B9984F1" w14:textId="77777777" w:rsidR="00DA5DE3" w:rsidRDefault="00DA5DE3" w:rsidP="00AF3086">
            <w:pPr>
              <w:rPr>
                <w:rFonts w:ascii="Calibri" w:hAnsi="Calibri" w:cs="Calibri"/>
                <w:b/>
                <w:bCs/>
                <w:color w:val="000000"/>
                <w:sz w:val="16"/>
                <w:szCs w:val="16"/>
              </w:rPr>
            </w:pPr>
          </w:p>
          <w:p w14:paraId="7894D1C3" w14:textId="413C2E30" w:rsidR="00DA5DE3" w:rsidRPr="00CF3C95" w:rsidRDefault="00DA5DE3" w:rsidP="00AF3086">
            <w:pPr>
              <w:rPr>
                <w:rFonts w:ascii="Calibri" w:hAnsi="Calibri" w:cs="Calibri"/>
                <w:b/>
                <w:bCs/>
                <w:color w:val="000000"/>
                <w:sz w:val="16"/>
                <w:szCs w:val="16"/>
              </w:rPr>
            </w:pPr>
            <w:r>
              <w:rPr>
                <w:rFonts w:ascii="Calibri" w:hAnsi="Calibri" w:cs="Calibri"/>
                <w:b/>
                <w:bCs/>
                <w:color w:val="000000"/>
                <w:sz w:val="16"/>
                <w:szCs w:val="16"/>
              </w:rPr>
              <w:t>JANUARY 2022</w:t>
            </w:r>
          </w:p>
        </w:tc>
      </w:tr>
      <w:tr w:rsidR="00DA5DE3" w:rsidRPr="00CF3C95" w14:paraId="7CA371F5" w14:textId="00C321F3" w:rsidTr="00DA5DE3">
        <w:trPr>
          <w:trHeight w:val="450"/>
        </w:trPr>
        <w:tc>
          <w:tcPr>
            <w:tcW w:w="29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485737F" w14:textId="77777777" w:rsidR="00DA5DE3" w:rsidRPr="00CF3C95" w:rsidRDefault="00DA5DE3" w:rsidP="00AF3086">
            <w:pPr>
              <w:rPr>
                <w:rFonts w:ascii="Calibri" w:hAnsi="Calibri" w:cs="Calibri"/>
                <w:b/>
                <w:bCs/>
                <w:color w:val="000000"/>
                <w:sz w:val="16"/>
                <w:szCs w:val="16"/>
              </w:rPr>
            </w:pPr>
            <w:r w:rsidRPr="00CF3C95">
              <w:rPr>
                <w:rFonts w:ascii="Calibri" w:hAnsi="Calibri" w:cs="Calibri"/>
                <w:b/>
                <w:bCs/>
                <w:color w:val="000000"/>
                <w:sz w:val="16"/>
                <w:szCs w:val="16"/>
              </w:rPr>
              <w:t>Unit</w:t>
            </w:r>
          </w:p>
        </w:tc>
        <w:tc>
          <w:tcPr>
            <w:tcW w:w="1380" w:type="dxa"/>
            <w:tcBorders>
              <w:top w:val="single" w:sz="4" w:space="0" w:color="auto"/>
              <w:left w:val="nil"/>
              <w:bottom w:val="single" w:sz="4" w:space="0" w:color="auto"/>
              <w:right w:val="single" w:sz="4" w:space="0" w:color="auto"/>
            </w:tcBorders>
            <w:shd w:val="clear" w:color="000000" w:fill="DCE6F1"/>
            <w:vAlign w:val="center"/>
            <w:hideMark/>
          </w:tcPr>
          <w:p w14:paraId="321D3B6A" w14:textId="77777777" w:rsidR="00DA5DE3" w:rsidRDefault="00DA5DE3" w:rsidP="00AF3086">
            <w:pPr>
              <w:rPr>
                <w:rFonts w:ascii="Calibri" w:hAnsi="Calibri" w:cs="Calibri"/>
                <w:b/>
                <w:bCs/>
                <w:color w:val="000000"/>
                <w:sz w:val="16"/>
                <w:szCs w:val="16"/>
              </w:rPr>
            </w:pPr>
          </w:p>
          <w:p w14:paraId="6EACAC7F" w14:textId="7EDAFCB2" w:rsidR="00DA5DE3" w:rsidRPr="00CF3C95" w:rsidRDefault="00DA5DE3" w:rsidP="00AF3086">
            <w:pPr>
              <w:rPr>
                <w:rFonts w:ascii="Calibri" w:hAnsi="Calibri" w:cs="Calibri"/>
                <w:b/>
                <w:bCs/>
                <w:color w:val="000000"/>
                <w:sz w:val="16"/>
                <w:szCs w:val="16"/>
              </w:rPr>
            </w:pPr>
            <w:r w:rsidRPr="00CF3C95">
              <w:rPr>
                <w:rFonts w:ascii="Calibri" w:hAnsi="Calibri" w:cs="Calibri"/>
                <w:b/>
                <w:bCs/>
                <w:color w:val="000000"/>
                <w:sz w:val="16"/>
                <w:szCs w:val="16"/>
              </w:rPr>
              <w:t>RN WTE</w:t>
            </w:r>
          </w:p>
        </w:tc>
        <w:tc>
          <w:tcPr>
            <w:tcW w:w="1380" w:type="dxa"/>
            <w:tcBorders>
              <w:top w:val="single" w:sz="4" w:space="0" w:color="auto"/>
              <w:left w:val="nil"/>
              <w:bottom w:val="single" w:sz="4" w:space="0" w:color="auto"/>
              <w:right w:val="single" w:sz="4" w:space="0" w:color="auto"/>
            </w:tcBorders>
            <w:shd w:val="clear" w:color="000000" w:fill="DCE6F1"/>
          </w:tcPr>
          <w:p w14:paraId="71626A69" w14:textId="77777777" w:rsidR="00DA5DE3" w:rsidRPr="00CF3C95" w:rsidRDefault="00DA5DE3" w:rsidP="00AF3086">
            <w:pPr>
              <w:rPr>
                <w:rFonts w:ascii="Calibri" w:hAnsi="Calibri" w:cs="Calibri"/>
                <w:b/>
                <w:bCs/>
                <w:color w:val="000000"/>
                <w:sz w:val="16"/>
                <w:szCs w:val="16"/>
              </w:rPr>
            </w:pPr>
          </w:p>
          <w:p w14:paraId="67993C19" w14:textId="77777777" w:rsidR="00DA5DE3" w:rsidRPr="00CF3C95" w:rsidRDefault="00DA5DE3" w:rsidP="00AF3086">
            <w:pPr>
              <w:rPr>
                <w:rFonts w:ascii="Calibri" w:hAnsi="Calibri" w:cs="Calibri"/>
                <w:b/>
                <w:bCs/>
                <w:color w:val="000000"/>
                <w:sz w:val="16"/>
                <w:szCs w:val="16"/>
              </w:rPr>
            </w:pPr>
            <w:r w:rsidRPr="00CF3C95">
              <w:rPr>
                <w:rFonts w:ascii="Calibri" w:hAnsi="Calibri" w:cs="Calibri"/>
                <w:b/>
                <w:bCs/>
                <w:color w:val="000000"/>
                <w:sz w:val="16"/>
                <w:szCs w:val="16"/>
              </w:rPr>
              <w:t>HCA WTE</w:t>
            </w:r>
          </w:p>
        </w:tc>
      </w:tr>
      <w:tr w:rsidR="00DA5DE3" w:rsidRPr="00CF3C95" w14:paraId="54270993" w14:textId="0CCD3C34"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557ACE8"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Acute Cardiac Unit</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0FF26" w14:textId="44B914BC"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7.74</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14:paraId="6899177D" w14:textId="5A8E42C3" w:rsidR="00DA5DE3" w:rsidRPr="00DA5DE3" w:rsidRDefault="00DA5DE3" w:rsidP="00DA5DE3">
            <w:pPr>
              <w:rPr>
                <w:rFonts w:ascii="Calibri" w:hAnsi="Calibri" w:cs="Calibri"/>
                <w:sz w:val="16"/>
                <w:szCs w:val="16"/>
              </w:rPr>
            </w:pPr>
            <w:r w:rsidRPr="00DA5DE3">
              <w:rPr>
                <w:rFonts w:ascii="Calibri" w:hAnsi="Calibri" w:cs="Calibri"/>
                <w:sz w:val="16"/>
                <w:szCs w:val="16"/>
              </w:rPr>
              <w:t>1.47</w:t>
            </w:r>
          </w:p>
        </w:tc>
      </w:tr>
      <w:tr w:rsidR="00DA5DE3" w:rsidRPr="00CF3C95" w14:paraId="67276D89" w14:textId="5623421E"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8A72D35"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Birch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07E3E2B" w14:textId="16C95D2E"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3.22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23D176" w14:textId="173C58BD" w:rsidR="00DA5DE3" w:rsidRPr="00DA5DE3" w:rsidRDefault="00DA5DE3" w:rsidP="00DA5DE3">
            <w:pPr>
              <w:rPr>
                <w:rFonts w:ascii="Calibri" w:hAnsi="Calibri" w:cs="Calibri"/>
                <w:sz w:val="16"/>
                <w:szCs w:val="16"/>
              </w:rPr>
            </w:pPr>
            <w:r w:rsidRPr="00DA5DE3">
              <w:rPr>
                <w:rFonts w:ascii="Calibri" w:hAnsi="Calibri" w:cs="Calibri"/>
                <w:sz w:val="16"/>
                <w:szCs w:val="16"/>
              </w:rPr>
              <w:t>3.80</w:t>
            </w:r>
          </w:p>
        </w:tc>
      </w:tr>
      <w:tr w:rsidR="00DA5DE3" w:rsidRPr="00CF3C95" w14:paraId="6E8B873F" w14:textId="6AFD4DAF"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EA22085"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Cath Lab</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CC682E7" w14:textId="4CA76789"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1.92</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98CA09" w14:textId="047B27C7" w:rsidR="00DA5DE3" w:rsidRPr="00DA5DE3" w:rsidRDefault="00DA5DE3" w:rsidP="00DA5DE3">
            <w:pPr>
              <w:rPr>
                <w:rFonts w:ascii="Calibri" w:hAnsi="Calibri" w:cs="Calibri"/>
                <w:sz w:val="16"/>
                <w:szCs w:val="16"/>
              </w:rPr>
            </w:pPr>
            <w:r w:rsidRPr="00DA5DE3">
              <w:rPr>
                <w:rFonts w:ascii="Calibri" w:hAnsi="Calibri" w:cs="Calibri"/>
                <w:sz w:val="16"/>
                <w:szCs w:val="16"/>
              </w:rPr>
              <w:t>0.31</w:t>
            </w:r>
          </w:p>
        </w:tc>
      </w:tr>
      <w:tr w:rsidR="00DA5DE3" w:rsidRPr="00CF3C95" w14:paraId="7ED4F50D" w14:textId="3D731275"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79D05CC4"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Cedar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983C629" w14:textId="0D782811"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5.47</w:t>
            </w:r>
          </w:p>
        </w:tc>
        <w:tc>
          <w:tcPr>
            <w:tcW w:w="1380" w:type="dxa"/>
            <w:tcBorders>
              <w:top w:val="nil"/>
              <w:left w:val="single" w:sz="4" w:space="0" w:color="auto"/>
              <w:bottom w:val="single" w:sz="4" w:space="0" w:color="auto"/>
              <w:right w:val="single" w:sz="4" w:space="0" w:color="auto"/>
            </w:tcBorders>
            <w:shd w:val="clear" w:color="auto" w:fill="auto"/>
            <w:vAlign w:val="center"/>
          </w:tcPr>
          <w:p w14:paraId="5F55EF94" w14:textId="51F9FCB1" w:rsidR="00DA5DE3" w:rsidRPr="00DA5DE3" w:rsidRDefault="00DA5DE3" w:rsidP="00DA5DE3">
            <w:pPr>
              <w:rPr>
                <w:rFonts w:ascii="Calibri" w:hAnsi="Calibri" w:cs="Calibri"/>
                <w:sz w:val="16"/>
                <w:szCs w:val="16"/>
              </w:rPr>
            </w:pPr>
            <w:r w:rsidRPr="00DA5DE3">
              <w:rPr>
                <w:rFonts w:ascii="Calibri" w:hAnsi="Calibri" w:cs="Calibri"/>
                <w:sz w:val="16"/>
                <w:szCs w:val="16"/>
              </w:rPr>
              <w:t>5.03</w:t>
            </w:r>
          </w:p>
        </w:tc>
      </w:tr>
      <w:tr w:rsidR="00DA5DE3" w:rsidRPr="00CF3C95" w14:paraId="0AFE8764" w14:textId="16A97C4B"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4AC9F054"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Cherry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4015A30D" w14:textId="5502D6AA"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1.47</w:t>
            </w:r>
          </w:p>
        </w:tc>
        <w:tc>
          <w:tcPr>
            <w:tcW w:w="1380" w:type="dxa"/>
            <w:tcBorders>
              <w:top w:val="nil"/>
              <w:left w:val="single" w:sz="4" w:space="0" w:color="auto"/>
              <w:bottom w:val="single" w:sz="4" w:space="0" w:color="auto"/>
              <w:right w:val="single" w:sz="4" w:space="0" w:color="auto"/>
            </w:tcBorders>
            <w:shd w:val="clear" w:color="auto" w:fill="auto"/>
            <w:vAlign w:val="center"/>
          </w:tcPr>
          <w:p w14:paraId="191D1014" w14:textId="437E8F70" w:rsidR="00DA5DE3" w:rsidRPr="00DA5DE3" w:rsidRDefault="00DA5DE3" w:rsidP="00DA5DE3">
            <w:pPr>
              <w:rPr>
                <w:rFonts w:ascii="Calibri" w:hAnsi="Calibri" w:cs="Calibri"/>
                <w:sz w:val="16"/>
                <w:szCs w:val="16"/>
              </w:rPr>
            </w:pPr>
            <w:r w:rsidRPr="00DA5DE3">
              <w:rPr>
                <w:rFonts w:ascii="Calibri" w:hAnsi="Calibri" w:cs="Calibri"/>
                <w:sz w:val="16"/>
                <w:szCs w:val="16"/>
              </w:rPr>
              <w:t>1.10</w:t>
            </w:r>
          </w:p>
        </w:tc>
      </w:tr>
      <w:tr w:rsidR="00DA5DE3" w:rsidRPr="00CF3C95" w14:paraId="226BA6B2" w14:textId="72AB7043"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619CBCAD"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Holly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54FF1F46" w14:textId="2C404DBC"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1.35</w:t>
            </w:r>
          </w:p>
        </w:tc>
        <w:tc>
          <w:tcPr>
            <w:tcW w:w="1380" w:type="dxa"/>
            <w:tcBorders>
              <w:top w:val="nil"/>
              <w:left w:val="single" w:sz="4" w:space="0" w:color="auto"/>
              <w:bottom w:val="single" w:sz="4" w:space="0" w:color="auto"/>
              <w:right w:val="single" w:sz="4" w:space="0" w:color="auto"/>
            </w:tcBorders>
            <w:shd w:val="clear" w:color="auto" w:fill="auto"/>
            <w:vAlign w:val="center"/>
          </w:tcPr>
          <w:p w14:paraId="5A5FA5E2" w14:textId="7ABCA3E2" w:rsidR="00DA5DE3" w:rsidRPr="00DA5DE3" w:rsidRDefault="00DA5DE3" w:rsidP="00DA5DE3">
            <w:pPr>
              <w:rPr>
                <w:rFonts w:ascii="Calibri" w:hAnsi="Calibri" w:cs="Calibri"/>
                <w:sz w:val="16"/>
                <w:szCs w:val="16"/>
              </w:rPr>
            </w:pPr>
            <w:r w:rsidRPr="00DA5DE3">
              <w:rPr>
                <w:rFonts w:ascii="Calibri" w:hAnsi="Calibri" w:cs="Calibri"/>
                <w:sz w:val="16"/>
                <w:szCs w:val="16"/>
              </w:rPr>
              <w:t>0.87</w:t>
            </w:r>
          </w:p>
        </w:tc>
      </w:tr>
      <w:tr w:rsidR="00DA5DE3" w:rsidRPr="00CF3C95" w14:paraId="72F8F561" w14:textId="092D2DE7"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16E6BB1B"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Maple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CA4B661" w14:textId="381C0B71"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1.38</w:t>
            </w:r>
          </w:p>
        </w:tc>
        <w:tc>
          <w:tcPr>
            <w:tcW w:w="1380" w:type="dxa"/>
            <w:tcBorders>
              <w:top w:val="nil"/>
              <w:left w:val="single" w:sz="4" w:space="0" w:color="auto"/>
              <w:bottom w:val="single" w:sz="4" w:space="0" w:color="auto"/>
              <w:right w:val="single" w:sz="4" w:space="0" w:color="auto"/>
            </w:tcBorders>
            <w:shd w:val="clear" w:color="auto" w:fill="auto"/>
            <w:vAlign w:val="center"/>
          </w:tcPr>
          <w:p w14:paraId="45F56A39" w14:textId="2E836EB9" w:rsidR="00DA5DE3" w:rsidRPr="00DA5DE3" w:rsidRDefault="00DA5DE3" w:rsidP="00DA5DE3">
            <w:pPr>
              <w:rPr>
                <w:rFonts w:ascii="Calibri" w:hAnsi="Calibri" w:cs="Calibri"/>
                <w:sz w:val="16"/>
                <w:szCs w:val="16"/>
              </w:rPr>
            </w:pPr>
            <w:r w:rsidRPr="00DA5DE3">
              <w:rPr>
                <w:rFonts w:ascii="Calibri" w:hAnsi="Calibri" w:cs="Calibri"/>
                <w:sz w:val="16"/>
                <w:szCs w:val="16"/>
              </w:rPr>
              <w:t>2.87</w:t>
            </w:r>
          </w:p>
        </w:tc>
      </w:tr>
      <w:tr w:rsidR="00DA5DE3" w:rsidRPr="00CF3C95" w14:paraId="7A316E0D" w14:textId="2093F26E"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EA80EC"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Oak Ward</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660D325" w14:textId="57A64991"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1.81</w:t>
            </w:r>
          </w:p>
        </w:tc>
        <w:tc>
          <w:tcPr>
            <w:tcW w:w="1380" w:type="dxa"/>
            <w:tcBorders>
              <w:top w:val="nil"/>
              <w:left w:val="single" w:sz="4" w:space="0" w:color="auto"/>
              <w:bottom w:val="single" w:sz="4" w:space="0" w:color="auto"/>
              <w:right w:val="single" w:sz="4" w:space="0" w:color="auto"/>
            </w:tcBorders>
            <w:shd w:val="clear" w:color="auto" w:fill="auto"/>
            <w:vAlign w:val="center"/>
          </w:tcPr>
          <w:p w14:paraId="2B91247C" w14:textId="1D16CDC5" w:rsidR="00DA5DE3" w:rsidRPr="00DA5DE3" w:rsidRDefault="00DA5DE3" w:rsidP="00DA5DE3">
            <w:pPr>
              <w:rPr>
                <w:rFonts w:ascii="Calibri" w:hAnsi="Calibri" w:cs="Calibri"/>
                <w:sz w:val="16"/>
                <w:szCs w:val="16"/>
              </w:rPr>
            </w:pPr>
            <w:r w:rsidRPr="00DA5DE3">
              <w:rPr>
                <w:rFonts w:ascii="Calibri" w:hAnsi="Calibri" w:cs="Calibri"/>
                <w:sz w:val="16"/>
                <w:szCs w:val="16"/>
              </w:rPr>
              <w:t>4.15</w:t>
            </w:r>
          </w:p>
        </w:tc>
      </w:tr>
      <w:tr w:rsidR="00DA5DE3" w:rsidRPr="00CF3C95" w14:paraId="319F9E71" w14:textId="273C7B93"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557F417"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Outpatients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2A3BEA80" w14:textId="292D3FD0"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0.92</w:t>
            </w:r>
          </w:p>
        </w:tc>
        <w:tc>
          <w:tcPr>
            <w:tcW w:w="1380" w:type="dxa"/>
            <w:tcBorders>
              <w:top w:val="nil"/>
              <w:left w:val="single" w:sz="4" w:space="0" w:color="auto"/>
              <w:bottom w:val="single" w:sz="4" w:space="0" w:color="auto"/>
              <w:right w:val="single" w:sz="4" w:space="0" w:color="auto"/>
            </w:tcBorders>
            <w:shd w:val="clear" w:color="auto" w:fill="auto"/>
            <w:vAlign w:val="center"/>
          </w:tcPr>
          <w:p w14:paraId="57A009AA" w14:textId="5C8E5F02" w:rsidR="00DA5DE3" w:rsidRPr="00DA5DE3" w:rsidRDefault="00DA5DE3" w:rsidP="00DA5DE3">
            <w:pPr>
              <w:rPr>
                <w:rFonts w:ascii="Calibri" w:hAnsi="Calibri" w:cs="Calibri"/>
                <w:sz w:val="16"/>
                <w:szCs w:val="16"/>
              </w:rPr>
            </w:pPr>
            <w:r w:rsidRPr="00DA5DE3">
              <w:rPr>
                <w:rFonts w:ascii="Calibri" w:hAnsi="Calibri" w:cs="Calibri"/>
                <w:sz w:val="16"/>
                <w:szCs w:val="16"/>
              </w:rPr>
              <w:t>1.34</w:t>
            </w:r>
          </w:p>
        </w:tc>
      </w:tr>
      <w:tr w:rsidR="00DA5DE3" w:rsidRPr="00CF3C95" w14:paraId="16A71164" w14:textId="5BE129CF"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538E2D2A"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Rowan Suite</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1067957A" w14:textId="3AB74495"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0.99</w:t>
            </w:r>
          </w:p>
        </w:tc>
        <w:tc>
          <w:tcPr>
            <w:tcW w:w="1380" w:type="dxa"/>
            <w:tcBorders>
              <w:top w:val="nil"/>
              <w:left w:val="single" w:sz="4" w:space="0" w:color="auto"/>
              <w:bottom w:val="single" w:sz="4" w:space="0" w:color="auto"/>
              <w:right w:val="single" w:sz="4" w:space="0" w:color="auto"/>
            </w:tcBorders>
            <w:shd w:val="clear" w:color="auto" w:fill="auto"/>
            <w:vAlign w:val="center"/>
          </w:tcPr>
          <w:p w14:paraId="70DE2E67" w14:textId="0B8FF051" w:rsidR="00DA5DE3" w:rsidRPr="00DA5DE3" w:rsidRDefault="00DA5DE3" w:rsidP="00DA5DE3">
            <w:pPr>
              <w:rPr>
                <w:rFonts w:ascii="Calibri" w:hAnsi="Calibri" w:cs="Calibri"/>
                <w:sz w:val="16"/>
                <w:szCs w:val="16"/>
              </w:rPr>
            </w:pPr>
            <w:r w:rsidRPr="00DA5DE3">
              <w:rPr>
                <w:rFonts w:ascii="Calibri" w:hAnsi="Calibri" w:cs="Calibri"/>
                <w:sz w:val="16"/>
                <w:szCs w:val="16"/>
              </w:rPr>
              <w:t>2.88</w:t>
            </w:r>
          </w:p>
        </w:tc>
      </w:tr>
      <w:tr w:rsidR="00DA5DE3" w:rsidRPr="00CF3C95" w14:paraId="4FF62914" w14:textId="7687BE60" w:rsidTr="00DA5DE3">
        <w:trPr>
          <w:trHeight w:val="300"/>
        </w:trPr>
        <w:tc>
          <w:tcPr>
            <w:tcW w:w="2920" w:type="dxa"/>
            <w:tcBorders>
              <w:top w:val="nil"/>
              <w:left w:val="single" w:sz="4" w:space="0" w:color="auto"/>
              <w:bottom w:val="single" w:sz="4" w:space="0" w:color="auto"/>
              <w:right w:val="single" w:sz="4" w:space="0" w:color="auto"/>
            </w:tcBorders>
            <w:shd w:val="clear" w:color="auto" w:fill="auto"/>
            <w:vAlign w:val="center"/>
            <w:hideMark/>
          </w:tcPr>
          <w:p w14:paraId="2252F96E" w14:textId="77777777" w:rsidR="00DA5DE3" w:rsidRPr="003768BC" w:rsidRDefault="00DA5DE3" w:rsidP="00DA5DE3">
            <w:pPr>
              <w:rPr>
                <w:rFonts w:ascii="Calibri" w:hAnsi="Calibri" w:cs="Calibri"/>
                <w:color w:val="000000"/>
                <w:sz w:val="16"/>
                <w:szCs w:val="16"/>
              </w:rPr>
            </w:pPr>
            <w:r w:rsidRPr="003768BC">
              <w:rPr>
                <w:rFonts w:ascii="Calibri" w:hAnsi="Calibri" w:cs="Calibri"/>
                <w:color w:val="000000"/>
                <w:sz w:val="16"/>
                <w:szCs w:val="16"/>
              </w:rPr>
              <w:t>SICU Clinical Roster</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437AB1A" w14:textId="4F502057"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19.38</w:t>
            </w:r>
          </w:p>
        </w:tc>
        <w:tc>
          <w:tcPr>
            <w:tcW w:w="1380" w:type="dxa"/>
            <w:tcBorders>
              <w:top w:val="nil"/>
              <w:left w:val="single" w:sz="4" w:space="0" w:color="auto"/>
              <w:bottom w:val="single" w:sz="4" w:space="0" w:color="auto"/>
              <w:right w:val="single" w:sz="4" w:space="0" w:color="auto"/>
            </w:tcBorders>
            <w:shd w:val="clear" w:color="auto" w:fill="auto"/>
            <w:vAlign w:val="center"/>
          </w:tcPr>
          <w:p w14:paraId="46AC02D9" w14:textId="0BEA550F" w:rsidR="00DA5DE3" w:rsidRPr="00DA5DE3" w:rsidRDefault="00DA5DE3" w:rsidP="00DA5DE3">
            <w:pPr>
              <w:rPr>
                <w:rFonts w:ascii="Calibri" w:hAnsi="Calibri" w:cs="Calibri"/>
                <w:sz w:val="16"/>
                <w:szCs w:val="16"/>
              </w:rPr>
            </w:pPr>
            <w:r w:rsidRPr="00DA5DE3">
              <w:rPr>
                <w:rFonts w:ascii="Calibri" w:hAnsi="Calibri" w:cs="Calibri"/>
                <w:sz w:val="16"/>
                <w:szCs w:val="16"/>
              </w:rPr>
              <w:t>4.86</w:t>
            </w:r>
          </w:p>
        </w:tc>
      </w:tr>
      <w:tr w:rsidR="00DA5DE3" w:rsidRPr="00CF3C95" w14:paraId="2343E4EF" w14:textId="0C922CFB" w:rsidTr="00DA5DE3">
        <w:trPr>
          <w:trHeight w:val="300"/>
        </w:trPr>
        <w:tc>
          <w:tcPr>
            <w:tcW w:w="2920" w:type="dxa"/>
            <w:tcBorders>
              <w:top w:val="nil"/>
              <w:left w:val="single" w:sz="4" w:space="0" w:color="auto"/>
              <w:bottom w:val="single" w:sz="4" w:space="0" w:color="auto"/>
              <w:right w:val="single" w:sz="4" w:space="0" w:color="auto"/>
            </w:tcBorders>
            <w:shd w:val="clear" w:color="000000" w:fill="FFFFFF"/>
            <w:vAlign w:val="center"/>
            <w:hideMark/>
          </w:tcPr>
          <w:p w14:paraId="3192D3D6" w14:textId="77777777" w:rsidR="00DA5DE3" w:rsidRPr="003768BC" w:rsidRDefault="00DA5DE3" w:rsidP="00DA5DE3">
            <w:pPr>
              <w:rPr>
                <w:rFonts w:ascii="Calibri" w:hAnsi="Calibri" w:cs="Calibri"/>
                <w:sz w:val="16"/>
                <w:szCs w:val="16"/>
              </w:rPr>
            </w:pPr>
            <w:r w:rsidRPr="003768BC">
              <w:rPr>
                <w:rFonts w:ascii="Calibri" w:hAnsi="Calibri" w:cs="Calibri"/>
                <w:sz w:val="16"/>
                <w:szCs w:val="16"/>
              </w:rPr>
              <w:t>Theatres</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14:paraId="68D57DF9" w14:textId="17F18766" w:rsidR="00DA5DE3" w:rsidRPr="00DA5DE3" w:rsidRDefault="00DA5DE3" w:rsidP="00DA5DE3">
            <w:pPr>
              <w:rPr>
                <w:rFonts w:ascii="Calibri" w:hAnsi="Calibri" w:cs="Calibri"/>
                <w:sz w:val="16"/>
                <w:szCs w:val="16"/>
              </w:rPr>
            </w:pPr>
            <w:r w:rsidRPr="00DA5DE3">
              <w:rPr>
                <w:rFonts w:ascii="Calibri" w:hAnsi="Calibri" w:cs="Calibri"/>
                <w:color w:val="000000"/>
                <w:sz w:val="16"/>
                <w:szCs w:val="16"/>
              </w:rPr>
              <w:t>7.67</w:t>
            </w:r>
          </w:p>
        </w:tc>
        <w:tc>
          <w:tcPr>
            <w:tcW w:w="1380" w:type="dxa"/>
            <w:tcBorders>
              <w:top w:val="nil"/>
              <w:left w:val="single" w:sz="4" w:space="0" w:color="auto"/>
              <w:bottom w:val="single" w:sz="4" w:space="0" w:color="auto"/>
              <w:right w:val="single" w:sz="4" w:space="0" w:color="auto"/>
            </w:tcBorders>
            <w:shd w:val="clear" w:color="auto" w:fill="auto"/>
            <w:vAlign w:val="center"/>
          </w:tcPr>
          <w:p w14:paraId="614EB35D" w14:textId="6DB2837E" w:rsidR="00DA5DE3" w:rsidRPr="00DA5DE3" w:rsidRDefault="00DA5DE3" w:rsidP="00DA5DE3">
            <w:pPr>
              <w:rPr>
                <w:rFonts w:ascii="Calibri" w:hAnsi="Calibri" w:cs="Calibri"/>
                <w:sz w:val="16"/>
                <w:szCs w:val="16"/>
              </w:rPr>
            </w:pPr>
            <w:r w:rsidRPr="00DA5DE3">
              <w:rPr>
                <w:rFonts w:ascii="Calibri" w:hAnsi="Calibri" w:cs="Calibri"/>
                <w:sz w:val="16"/>
                <w:szCs w:val="16"/>
              </w:rPr>
              <w:t>1.84</w:t>
            </w:r>
          </w:p>
        </w:tc>
      </w:tr>
      <w:tr w:rsidR="00DA5DE3" w:rsidRPr="00CF3C95" w14:paraId="1BE5FE53" w14:textId="13A748E3" w:rsidTr="00DA5DE3">
        <w:trPr>
          <w:trHeight w:val="300"/>
        </w:trPr>
        <w:tc>
          <w:tcPr>
            <w:tcW w:w="292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EB258BF" w14:textId="77777777" w:rsidR="00DA5DE3" w:rsidRPr="00CF3C95" w:rsidRDefault="00DA5DE3" w:rsidP="00DA5DE3">
            <w:pPr>
              <w:rPr>
                <w:rFonts w:ascii="Calibri" w:hAnsi="Calibri" w:cs="Calibri"/>
                <w:b/>
                <w:bCs/>
                <w:color w:val="000000"/>
                <w:sz w:val="16"/>
                <w:szCs w:val="16"/>
              </w:rPr>
            </w:pPr>
            <w:r w:rsidRPr="00CF3C95">
              <w:rPr>
                <w:rFonts w:ascii="Calibri" w:hAnsi="Calibri" w:cs="Calibri"/>
                <w:b/>
                <w:bCs/>
                <w:color w:val="000000"/>
                <w:sz w:val="16"/>
                <w:szCs w:val="16"/>
              </w:rPr>
              <w:t xml:space="preserve"> Total WTE Unavailable</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B0392DF" w14:textId="76294E39" w:rsidR="00DA5DE3" w:rsidRPr="00CF3C95" w:rsidRDefault="00DA5DE3" w:rsidP="00DA5DE3">
            <w:pPr>
              <w:rPr>
                <w:rFonts w:ascii="Calibri" w:hAnsi="Calibri" w:cs="Calibri"/>
                <w:b/>
                <w:bCs/>
                <w:color w:val="000000"/>
                <w:sz w:val="16"/>
                <w:szCs w:val="16"/>
              </w:rPr>
            </w:pPr>
            <w:r>
              <w:rPr>
                <w:rFonts w:ascii="Calibri" w:hAnsi="Calibri" w:cs="Calibri"/>
                <w:b/>
                <w:bCs/>
                <w:color w:val="000000"/>
                <w:sz w:val="16"/>
                <w:szCs w:val="16"/>
              </w:rPr>
              <w:t>53.31</w:t>
            </w:r>
          </w:p>
        </w:tc>
        <w:tc>
          <w:tcPr>
            <w:tcW w:w="1380" w:type="dxa"/>
            <w:tcBorders>
              <w:top w:val="nil"/>
              <w:left w:val="single" w:sz="4" w:space="0" w:color="auto"/>
              <w:bottom w:val="single" w:sz="4" w:space="0" w:color="auto"/>
              <w:right w:val="single" w:sz="4" w:space="0" w:color="auto"/>
            </w:tcBorders>
            <w:shd w:val="clear" w:color="auto" w:fill="D9E2F3" w:themeFill="accent1" w:themeFillTint="33"/>
            <w:vAlign w:val="center"/>
          </w:tcPr>
          <w:p w14:paraId="732635AC" w14:textId="579A3CC2" w:rsidR="00DA5DE3" w:rsidRPr="00CF3C95" w:rsidRDefault="00DA5DE3" w:rsidP="00DA5DE3">
            <w:pPr>
              <w:rPr>
                <w:rFonts w:ascii="Calibri" w:hAnsi="Calibri" w:cs="Calibri"/>
                <w:b/>
                <w:bCs/>
                <w:color w:val="000000"/>
                <w:sz w:val="16"/>
                <w:szCs w:val="16"/>
              </w:rPr>
            </w:pPr>
            <w:r>
              <w:rPr>
                <w:rFonts w:ascii="Calibri" w:hAnsi="Calibri" w:cs="Calibri"/>
                <w:b/>
                <w:bCs/>
                <w:sz w:val="16"/>
                <w:szCs w:val="16"/>
              </w:rPr>
              <w:t>30.53</w:t>
            </w:r>
          </w:p>
        </w:tc>
      </w:tr>
    </w:tbl>
    <w:p w14:paraId="615A6CEC" w14:textId="77777777" w:rsidR="00BE78FC" w:rsidRPr="00CF3C95" w:rsidRDefault="00BE78FC" w:rsidP="00AF3086"/>
    <w:p w14:paraId="0C47DCAB" w14:textId="16916C4E" w:rsidR="007776BE" w:rsidRPr="00CF3C95" w:rsidRDefault="003F74FD" w:rsidP="00AF3086">
      <w:r w:rsidRPr="00CF3C95">
        <w:t xml:space="preserve">There is a </w:t>
      </w:r>
      <w:r w:rsidR="00FD5CBB">
        <w:t xml:space="preserve">continued </w:t>
      </w:r>
      <w:r w:rsidRPr="00CF3C95">
        <w:t>Trust focus on sickness absence management with support for staff in terms of wellbeing conversations with line managers and additional provision</w:t>
      </w:r>
      <w:r w:rsidR="00E41E3B" w:rsidRPr="00CF3C95">
        <w:t>,</w:t>
      </w:r>
      <w:r w:rsidRPr="00CF3C95">
        <w:t xml:space="preserve"> to support mental health wellbeing across the Trust. </w:t>
      </w:r>
      <w:r w:rsidR="007776BE" w:rsidRPr="00CF3C95">
        <w:t>Divisional leads are working closely with HR business partners and managers to review all sickness absence</w:t>
      </w:r>
      <w:r w:rsidR="00F12A62">
        <w:t xml:space="preserve"> and several</w:t>
      </w:r>
      <w:r w:rsidRPr="00CF3C95">
        <w:t xml:space="preserve"> </w:t>
      </w:r>
      <w:r w:rsidR="00D1254C" w:rsidRPr="00CF3C95">
        <w:t>long-term</w:t>
      </w:r>
      <w:r w:rsidRPr="00CF3C95">
        <w:t xml:space="preserve"> sickness cases </w:t>
      </w:r>
      <w:r w:rsidR="00F12A62">
        <w:t xml:space="preserve">have resulted in </w:t>
      </w:r>
      <w:r w:rsidR="007776BE" w:rsidRPr="00CF3C95">
        <w:t xml:space="preserve">support </w:t>
      </w:r>
      <w:r w:rsidR="00F12A62">
        <w:t xml:space="preserve">to </w:t>
      </w:r>
      <w:r w:rsidR="007776BE" w:rsidRPr="00CF3C95">
        <w:t>return to work.</w:t>
      </w:r>
      <w:r w:rsidR="007C38AB" w:rsidRPr="00CF3C95">
        <w:t xml:space="preserve"> </w:t>
      </w:r>
      <w:r w:rsidR="002D5ABC" w:rsidRPr="00CF3C95">
        <w:t>T</w:t>
      </w:r>
      <w:r w:rsidR="007C38AB" w:rsidRPr="00CF3C95">
        <w:t xml:space="preserve">he Trust </w:t>
      </w:r>
      <w:r w:rsidR="002D5ABC" w:rsidRPr="00CF3C95">
        <w:t xml:space="preserve">continues </w:t>
      </w:r>
      <w:r w:rsidR="007C38AB" w:rsidRPr="00CF3C95">
        <w:t xml:space="preserve">to </w:t>
      </w:r>
      <w:r w:rsidR="00F12A62">
        <w:t>follo</w:t>
      </w:r>
      <w:r w:rsidR="00750D6A">
        <w:t>w</w:t>
      </w:r>
      <w:r w:rsidR="00F12A62">
        <w:t xml:space="preserve"> national guidance in relation to covid isolation and contact testing to </w:t>
      </w:r>
      <w:r w:rsidR="007C38AB" w:rsidRPr="00CF3C95">
        <w:t xml:space="preserve">support </w:t>
      </w:r>
      <w:r w:rsidR="002D5ABC" w:rsidRPr="00CF3C95">
        <w:t xml:space="preserve">covid close contact </w:t>
      </w:r>
      <w:r w:rsidR="007C38AB" w:rsidRPr="00CF3C95">
        <w:t>staff back into work</w:t>
      </w:r>
      <w:r w:rsidR="00F12A62">
        <w:t xml:space="preserve">. The number of covid </w:t>
      </w:r>
      <w:r w:rsidR="00750D6A">
        <w:t>p</w:t>
      </w:r>
      <w:r w:rsidR="00F12A62">
        <w:t>ositive staff</w:t>
      </w:r>
      <w:r w:rsidR="00750D6A">
        <w:t xml:space="preserve"> </w:t>
      </w:r>
      <w:r w:rsidR="00DA5DE3">
        <w:t>remained relatively high into January 2022.</w:t>
      </w:r>
    </w:p>
    <w:p w14:paraId="3BE95660" w14:textId="77777777" w:rsidR="007776BE" w:rsidRPr="00CF3C95" w:rsidRDefault="007776BE" w:rsidP="00AF3086"/>
    <w:p w14:paraId="01A37AF1" w14:textId="3C44936A" w:rsidR="007776BE" w:rsidRPr="00CF3C95" w:rsidRDefault="00357C1D" w:rsidP="00AF3086">
      <w:pPr>
        <w:rPr>
          <w:b/>
          <w:bCs/>
        </w:rPr>
      </w:pPr>
      <w:r w:rsidRPr="00CF3C95">
        <w:rPr>
          <w:b/>
          <w:bCs/>
        </w:rPr>
        <w:t>3.3</w:t>
      </w:r>
      <w:r w:rsidR="007776BE" w:rsidRPr="00CF3C95">
        <w:rPr>
          <w:b/>
          <w:bCs/>
        </w:rPr>
        <w:t>.</w:t>
      </w:r>
      <w:r w:rsidRPr="00CF3C95">
        <w:rPr>
          <w:b/>
          <w:bCs/>
        </w:rPr>
        <w:t xml:space="preserve"> T</w:t>
      </w:r>
      <w:r w:rsidR="007776BE" w:rsidRPr="00CF3C95">
        <w:rPr>
          <w:b/>
          <w:bCs/>
        </w:rPr>
        <w:t>emporary Staffing</w:t>
      </w:r>
    </w:p>
    <w:p w14:paraId="77B02FC3" w14:textId="77777777" w:rsidR="007776BE" w:rsidRPr="00CF3C95" w:rsidRDefault="007776BE" w:rsidP="00AF3086"/>
    <w:p w14:paraId="3D253F3B" w14:textId="117A4CB1" w:rsidR="007776BE" w:rsidRDefault="00F7097B" w:rsidP="00AF3086">
      <w:r w:rsidRPr="00CF3C95">
        <w:t>T</w:t>
      </w:r>
      <w:r w:rsidR="00DB241D" w:rsidRPr="00CF3C95">
        <w:t xml:space="preserve">he temporary staffing team are actively recruiting to the LHCH nurse bank </w:t>
      </w:r>
      <w:r w:rsidR="00CD472E" w:rsidRPr="00CF3C95">
        <w:t>to</w:t>
      </w:r>
      <w:r w:rsidR="00320123" w:rsidRPr="00CF3C95">
        <w:t xml:space="preserve"> support during this time</w:t>
      </w:r>
      <w:r w:rsidR="007776BE" w:rsidRPr="00CF3C95">
        <w:t>.</w:t>
      </w:r>
      <w:r w:rsidR="00F03050" w:rsidRPr="00CF3C95">
        <w:t xml:space="preserve"> </w:t>
      </w:r>
      <w:r w:rsidR="00E41E3B" w:rsidRPr="00CF3C95">
        <w:t>A</w:t>
      </w:r>
      <w:r w:rsidR="007776BE" w:rsidRPr="00CF3C95">
        <w:t>gency staffing has been utilised durin</w:t>
      </w:r>
      <w:r w:rsidR="002D5ABC" w:rsidRPr="00CF3C95">
        <w:t xml:space="preserve">g </w:t>
      </w:r>
      <w:r w:rsidR="00DA5DE3">
        <w:t>January</w:t>
      </w:r>
      <w:r w:rsidR="00E41E3B" w:rsidRPr="00CF3C95">
        <w:t xml:space="preserve"> within</w:t>
      </w:r>
      <w:r w:rsidR="00F03050" w:rsidRPr="00CF3C95">
        <w:t xml:space="preserve"> critical care</w:t>
      </w:r>
      <w:r w:rsidR="007C38AB" w:rsidRPr="00CF3C95">
        <w:t xml:space="preserve"> and </w:t>
      </w:r>
      <w:r w:rsidR="00D1254C">
        <w:t>C</w:t>
      </w:r>
      <w:r w:rsidR="00D1254C" w:rsidRPr="00CF3C95">
        <w:t>ath</w:t>
      </w:r>
      <w:r w:rsidR="007C38AB" w:rsidRPr="00CF3C95">
        <w:t xml:space="preserve"> lab</w:t>
      </w:r>
      <w:r w:rsidR="00A414B0" w:rsidRPr="00CF3C95">
        <w:t xml:space="preserve"> recovery </w:t>
      </w:r>
      <w:r w:rsidR="00E41E3B" w:rsidRPr="00CF3C95">
        <w:t>when require</w:t>
      </w:r>
      <w:r w:rsidR="002D5ABC" w:rsidRPr="00CF3C95">
        <w:t>d to cover unfilled vacancies.</w:t>
      </w:r>
    </w:p>
    <w:p w14:paraId="185F5EC3" w14:textId="1DC3158A" w:rsidR="00F60447" w:rsidRDefault="00F60447" w:rsidP="00AF3086"/>
    <w:p w14:paraId="601E1989" w14:textId="7DC684C4" w:rsidR="00F60447" w:rsidRDefault="00F60447" w:rsidP="00AF3086"/>
    <w:p w14:paraId="43E057E7" w14:textId="61A15EBA" w:rsidR="00F60447" w:rsidRDefault="00F60447" w:rsidP="00AF3086"/>
    <w:p w14:paraId="06BBE33C" w14:textId="71092A38" w:rsidR="00DA5DE3" w:rsidRDefault="00DA5DE3" w:rsidP="00AF3086"/>
    <w:p w14:paraId="07A593BE" w14:textId="76219AFD" w:rsidR="00DA5DE3" w:rsidRDefault="00DA5DE3" w:rsidP="00AF3086"/>
    <w:p w14:paraId="0243DA3E" w14:textId="77777777" w:rsidR="00DA5DE3" w:rsidRDefault="00DA5DE3" w:rsidP="00AF3086"/>
    <w:p w14:paraId="59A582D7" w14:textId="77777777" w:rsidR="00F60447" w:rsidRPr="00CF3C95" w:rsidRDefault="00F60447" w:rsidP="00AF3086"/>
    <w:p w14:paraId="7194FA25" w14:textId="77777777" w:rsidR="007776BE" w:rsidRPr="00CF3C95" w:rsidRDefault="007776BE" w:rsidP="00AF3086"/>
    <w:p w14:paraId="39477C37" w14:textId="402D607D" w:rsidR="00EF203F" w:rsidRPr="00CF3C95" w:rsidRDefault="00357C1D" w:rsidP="00AF3086">
      <w:pPr>
        <w:rPr>
          <w:rFonts w:eastAsia="Calibri" w:cs="Arial"/>
          <w:b/>
          <w:szCs w:val="22"/>
        </w:rPr>
      </w:pPr>
      <w:r w:rsidRPr="00CF3C95">
        <w:rPr>
          <w:rFonts w:eastAsia="Calibri" w:cs="Arial"/>
          <w:b/>
          <w:szCs w:val="22"/>
        </w:rPr>
        <w:t>3.4</w:t>
      </w:r>
      <w:r w:rsidR="009A5FF6" w:rsidRPr="00CF3C95">
        <w:rPr>
          <w:rFonts w:eastAsia="Calibri" w:cs="Arial"/>
          <w:b/>
          <w:szCs w:val="22"/>
        </w:rPr>
        <w:t>. Exceptions</w:t>
      </w:r>
    </w:p>
    <w:p w14:paraId="0675294B" w14:textId="77777777" w:rsidR="00846DAF" w:rsidRPr="00CF3C95" w:rsidRDefault="00846DAF" w:rsidP="00AF3086">
      <w:pPr>
        <w:rPr>
          <w:rFonts w:eastAsia="Calibri" w:cs="Arial"/>
          <w:szCs w:val="22"/>
        </w:rPr>
      </w:pPr>
    </w:p>
    <w:p w14:paraId="7C7C819F" w14:textId="77777777" w:rsidR="00F60447" w:rsidRDefault="00EF203F" w:rsidP="00AF3086">
      <w:pPr>
        <w:rPr>
          <w:rFonts w:eastAsia="Calibri" w:cs="Arial"/>
          <w:szCs w:val="22"/>
        </w:rPr>
      </w:pPr>
      <w:r w:rsidRPr="00CF3C95">
        <w:rPr>
          <w:rFonts w:eastAsia="Calibri" w:cs="Arial"/>
          <w:szCs w:val="22"/>
        </w:rPr>
        <w:t>All planned staffing for nursing in LHCH is assessed as required for the ward to run at full capacity, if capacity is reduced then the planned staffing changes accordingly.</w:t>
      </w:r>
    </w:p>
    <w:p w14:paraId="57BDD785" w14:textId="11018F35" w:rsidR="00D2262E" w:rsidRPr="00CF3C95" w:rsidRDefault="003C1B55" w:rsidP="00AF3086">
      <w:pPr>
        <w:rPr>
          <w:rFonts w:eastAsia="Calibri" w:cs="Arial"/>
          <w:szCs w:val="22"/>
        </w:rPr>
      </w:pPr>
      <w:r w:rsidRPr="00CF3C95">
        <w:rPr>
          <w:rFonts w:eastAsia="Calibri" w:cs="Arial"/>
          <w:szCs w:val="22"/>
        </w:rPr>
        <w:t>In</w:t>
      </w:r>
      <w:r w:rsidR="00792636" w:rsidRPr="00CF3C95">
        <w:rPr>
          <w:rFonts w:eastAsia="Calibri" w:cs="Arial"/>
          <w:szCs w:val="22"/>
        </w:rPr>
        <w:t xml:space="preserve"> </w:t>
      </w:r>
      <w:r w:rsidR="00DA5DE3">
        <w:rPr>
          <w:rFonts w:eastAsia="Calibri" w:cs="Arial"/>
          <w:szCs w:val="22"/>
        </w:rPr>
        <w:t>January 2022</w:t>
      </w:r>
      <w:r w:rsidR="007C4A5D" w:rsidRPr="00CF3C95">
        <w:rPr>
          <w:rFonts w:eastAsia="Calibri" w:cs="Arial"/>
          <w:szCs w:val="22"/>
        </w:rPr>
        <w:t>:</w:t>
      </w:r>
    </w:p>
    <w:p w14:paraId="2901E8C7" w14:textId="77777777" w:rsidR="00D2262E" w:rsidRPr="00CF3C95" w:rsidRDefault="00D2262E" w:rsidP="00AF3086">
      <w:pPr>
        <w:rPr>
          <w:rFonts w:eastAsia="Calibri" w:cs="Arial"/>
          <w:szCs w:val="22"/>
        </w:rPr>
      </w:pPr>
    </w:p>
    <w:p w14:paraId="2E016A97" w14:textId="6060A9D7" w:rsidR="00092C03" w:rsidRDefault="00702658" w:rsidP="0018338B">
      <w:pPr>
        <w:numPr>
          <w:ilvl w:val="0"/>
          <w:numId w:val="5"/>
        </w:numPr>
        <w:rPr>
          <w:rFonts w:eastAsia="Calibri"/>
        </w:rPr>
      </w:pPr>
      <w:r w:rsidRPr="00CF3C95">
        <w:rPr>
          <w:rFonts w:eastAsia="Calibri"/>
        </w:rPr>
        <w:t xml:space="preserve">There were no red </w:t>
      </w:r>
      <w:r w:rsidR="009079AD" w:rsidRPr="00CF3C95">
        <w:rPr>
          <w:rFonts w:eastAsia="Calibri"/>
        </w:rPr>
        <w:t xml:space="preserve">flags on </w:t>
      </w:r>
      <w:r w:rsidR="00DA5DE3">
        <w:rPr>
          <w:rFonts w:eastAsia="Calibri"/>
        </w:rPr>
        <w:t xml:space="preserve">Oak, </w:t>
      </w:r>
      <w:r w:rsidR="009079AD" w:rsidRPr="00CF3C95">
        <w:rPr>
          <w:rFonts w:eastAsia="Calibri"/>
        </w:rPr>
        <w:t>Cedar</w:t>
      </w:r>
      <w:r w:rsidR="00CC7F82" w:rsidRPr="00CF3C95">
        <w:rPr>
          <w:rFonts w:eastAsia="Calibri"/>
        </w:rPr>
        <w:t>,</w:t>
      </w:r>
      <w:r w:rsidR="00860ED3" w:rsidRPr="00CF3C95">
        <w:rPr>
          <w:rFonts w:eastAsia="Calibri"/>
        </w:rPr>
        <w:t xml:space="preserve"> </w:t>
      </w:r>
      <w:r w:rsidR="00CD472E" w:rsidRPr="00CF3C95">
        <w:rPr>
          <w:rFonts w:eastAsia="Calibri"/>
        </w:rPr>
        <w:t>Rowan,</w:t>
      </w:r>
      <w:r w:rsidR="009079AD" w:rsidRPr="00CF3C95">
        <w:rPr>
          <w:rFonts w:eastAsia="Calibri"/>
        </w:rPr>
        <w:t xml:space="preserve"> </w:t>
      </w:r>
      <w:r w:rsidR="00DA5DE3">
        <w:rPr>
          <w:rFonts w:eastAsia="Calibri"/>
        </w:rPr>
        <w:t xml:space="preserve">and </w:t>
      </w:r>
      <w:r w:rsidR="00CC7F82" w:rsidRPr="00CF3C95">
        <w:rPr>
          <w:rFonts w:eastAsia="Calibri"/>
        </w:rPr>
        <w:t xml:space="preserve">Maple </w:t>
      </w:r>
      <w:r w:rsidR="00092C03" w:rsidRPr="00CF3C95">
        <w:rPr>
          <w:rFonts w:eastAsia="Calibri"/>
        </w:rPr>
        <w:t>wards</w:t>
      </w:r>
      <w:r w:rsidR="0018338B">
        <w:rPr>
          <w:rFonts w:eastAsia="Calibri"/>
        </w:rPr>
        <w:t xml:space="preserve"> and </w:t>
      </w:r>
      <w:r w:rsidR="0065535B" w:rsidRPr="0018338B">
        <w:rPr>
          <w:rFonts w:eastAsia="Calibri"/>
        </w:rPr>
        <w:t>no staffing related incidents were reported via the datix system for these areas</w:t>
      </w:r>
      <w:r w:rsidR="0018338B">
        <w:rPr>
          <w:rFonts w:eastAsia="Calibri"/>
        </w:rPr>
        <w:t xml:space="preserve"> in January.</w:t>
      </w:r>
    </w:p>
    <w:p w14:paraId="77607405" w14:textId="77777777" w:rsidR="001F213D" w:rsidRDefault="001F213D" w:rsidP="001F213D">
      <w:pPr>
        <w:ind w:left="720"/>
        <w:rPr>
          <w:rFonts w:eastAsia="Calibri"/>
        </w:rPr>
      </w:pPr>
    </w:p>
    <w:p w14:paraId="5357C1BD" w14:textId="21E9BF96" w:rsidR="00985232" w:rsidRDefault="0018338B" w:rsidP="00985232">
      <w:pPr>
        <w:numPr>
          <w:ilvl w:val="0"/>
          <w:numId w:val="5"/>
        </w:numPr>
        <w:rPr>
          <w:rFonts w:eastAsia="Calibri"/>
        </w:rPr>
      </w:pPr>
      <w:r>
        <w:rPr>
          <w:rFonts w:eastAsia="Calibri"/>
        </w:rPr>
        <w:t xml:space="preserve">There were no red flags reported for Birch, ACU, CCU or Cherry wards. There was 1 staffing related incident reported on CCU. This was during a night shift when there was an increase in the acuity of patients within the unit and there was no further RN support available. Additional HCA support was </w:t>
      </w:r>
      <w:r w:rsidR="00D1254C">
        <w:rPr>
          <w:rFonts w:eastAsia="Calibri"/>
        </w:rPr>
        <w:t>received,</w:t>
      </w:r>
      <w:r>
        <w:rPr>
          <w:rFonts w:eastAsia="Calibri"/>
        </w:rPr>
        <w:t xml:space="preserve"> and no patient safety incidents were reported during the challenging shift.</w:t>
      </w:r>
    </w:p>
    <w:p w14:paraId="74367938" w14:textId="77777777" w:rsidR="001F213D" w:rsidRPr="0018338B" w:rsidRDefault="001F213D" w:rsidP="001F213D">
      <w:pPr>
        <w:rPr>
          <w:rFonts w:eastAsia="Calibri"/>
        </w:rPr>
      </w:pPr>
    </w:p>
    <w:p w14:paraId="7A151AE3" w14:textId="31B97252" w:rsidR="00E92682" w:rsidRDefault="009F50D6" w:rsidP="00985232">
      <w:pPr>
        <w:numPr>
          <w:ilvl w:val="0"/>
          <w:numId w:val="5"/>
        </w:numPr>
        <w:rPr>
          <w:rFonts w:eastAsia="Calibri"/>
        </w:rPr>
      </w:pPr>
      <w:r w:rsidRPr="00985232">
        <w:rPr>
          <w:rFonts w:eastAsia="Calibri"/>
        </w:rPr>
        <w:t>Acute Cardiac</w:t>
      </w:r>
      <w:r w:rsidR="00552E7E" w:rsidRPr="00985232">
        <w:rPr>
          <w:rFonts w:eastAsia="Calibri"/>
        </w:rPr>
        <w:t xml:space="preserve"> </w:t>
      </w:r>
      <w:r w:rsidRPr="00985232">
        <w:rPr>
          <w:rFonts w:eastAsia="Calibri"/>
        </w:rPr>
        <w:t>Unit (ACU</w:t>
      </w:r>
      <w:r w:rsidR="004B4652">
        <w:rPr>
          <w:rFonts w:eastAsia="Calibri"/>
        </w:rPr>
        <w:t>)</w:t>
      </w:r>
      <w:r w:rsidR="0065535B" w:rsidRPr="00985232">
        <w:rPr>
          <w:rFonts w:eastAsia="Calibri"/>
        </w:rPr>
        <w:t xml:space="preserve"> has a </w:t>
      </w:r>
      <w:r w:rsidR="004B4652">
        <w:rPr>
          <w:rFonts w:eastAsia="Calibri"/>
        </w:rPr>
        <w:t xml:space="preserve">significantly </w:t>
      </w:r>
      <w:r w:rsidR="0065535B" w:rsidRPr="00985232">
        <w:rPr>
          <w:rFonts w:eastAsia="Calibri"/>
        </w:rPr>
        <w:t>reduc</w:t>
      </w:r>
      <w:r w:rsidR="004B4652">
        <w:rPr>
          <w:rFonts w:eastAsia="Calibri"/>
        </w:rPr>
        <w:t>ed</w:t>
      </w:r>
      <w:r w:rsidR="00552E7E" w:rsidRPr="00985232">
        <w:rPr>
          <w:rFonts w:eastAsia="Calibri"/>
        </w:rPr>
        <w:t xml:space="preserve"> number of RN </w:t>
      </w:r>
      <w:r w:rsidR="00954AD1" w:rsidRPr="00985232">
        <w:rPr>
          <w:rFonts w:eastAsia="Calibri"/>
        </w:rPr>
        <w:t xml:space="preserve">vacancies, </w:t>
      </w:r>
      <w:r w:rsidR="004B4652">
        <w:rPr>
          <w:rFonts w:eastAsia="Calibri"/>
        </w:rPr>
        <w:t xml:space="preserve">however has experienced </w:t>
      </w:r>
      <w:r w:rsidR="000C36AD">
        <w:rPr>
          <w:rFonts w:eastAsia="Calibri"/>
        </w:rPr>
        <w:t xml:space="preserve">ongoing </w:t>
      </w:r>
      <w:r w:rsidR="004B4652">
        <w:rPr>
          <w:rFonts w:eastAsia="Calibri"/>
        </w:rPr>
        <w:t>high sickness levels and skill mix remains a challenge</w:t>
      </w:r>
      <w:r w:rsidR="00CC7F82" w:rsidRPr="00985232">
        <w:rPr>
          <w:rFonts w:eastAsia="Calibri"/>
        </w:rPr>
        <w:t>.</w:t>
      </w:r>
      <w:r w:rsidR="00552E7E" w:rsidRPr="00985232">
        <w:rPr>
          <w:rFonts w:eastAsia="Calibri"/>
        </w:rPr>
        <w:t xml:space="preserve"> </w:t>
      </w:r>
      <w:r w:rsidR="00997ADB" w:rsidRPr="00985232">
        <w:rPr>
          <w:rFonts w:eastAsia="Calibri"/>
        </w:rPr>
        <w:t>The divisiona</w:t>
      </w:r>
      <w:r w:rsidRPr="00985232">
        <w:rPr>
          <w:rFonts w:eastAsia="Calibri"/>
        </w:rPr>
        <w:t>l matron works closely with the ward</w:t>
      </w:r>
      <w:r w:rsidR="00552E7E" w:rsidRPr="00985232">
        <w:rPr>
          <w:rFonts w:eastAsia="Calibri"/>
        </w:rPr>
        <w:t xml:space="preserve"> </w:t>
      </w:r>
      <w:r w:rsidR="00997ADB" w:rsidRPr="00985232">
        <w:rPr>
          <w:rFonts w:eastAsia="Calibri"/>
        </w:rPr>
        <w:t xml:space="preserve">team to </w:t>
      </w:r>
      <w:r w:rsidRPr="00985232">
        <w:rPr>
          <w:rFonts w:eastAsia="Calibri"/>
        </w:rPr>
        <w:t>ensure appropriate levels of coronary care</w:t>
      </w:r>
      <w:r w:rsidR="00997ADB" w:rsidRPr="00985232">
        <w:rPr>
          <w:rFonts w:eastAsia="Calibri"/>
        </w:rPr>
        <w:t xml:space="preserve"> trained staff are available for each shift</w:t>
      </w:r>
      <w:r w:rsidR="00792636" w:rsidRPr="00985232">
        <w:rPr>
          <w:rFonts w:eastAsia="Calibri"/>
        </w:rPr>
        <w:t>, working flexibly across the 2 areas of ACU and POCCU</w:t>
      </w:r>
      <w:r w:rsidR="0065535B" w:rsidRPr="00985232">
        <w:rPr>
          <w:rFonts w:eastAsia="Calibri"/>
        </w:rPr>
        <w:t>3 (CCU)</w:t>
      </w:r>
      <w:r w:rsidR="00894B62" w:rsidRPr="00985232">
        <w:rPr>
          <w:rFonts w:eastAsia="Calibri"/>
        </w:rPr>
        <w:t xml:space="preserve"> and </w:t>
      </w:r>
      <w:r w:rsidR="0018338B">
        <w:rPr>
          <w:rFonts w:eastAsia="Calibri"/>
        </w:rPr>
        <w:t xml:space="preserve">the division are </w:t>
      </w:r>
      <w:r w:rsidR="00894B62" w:rsidRPr="00985232">
        <w:rPr>
          <w:rFonts w:eastAsia="Calibri"/>
        </w:rPr>
        <w:t xml:space="preserve">working through a staffing plan to </w:t>
      </w:r>
      <w:r w:rsidR="00985232" w:rsidRPr="00985232">
        <w:rPr>
          <w:rFonts w:eastAsia="Calibri"/>
        </w:rPr>
        <w:t>ensure planned levels of staffing are achieved.</w:t>
      </w:r>
    </w:p>
    <w:p w14:paraId="7F3DA9A2" w14:textId="77777777" w:rsidR="001F213D" w:rsidRPr="00985232" w:rsidRDefault="001F213D" w:rsidP="001F213D">
      <w:pPr>
        <w:rPr>
          <w:rFonts w:eastAsia="Calibri"/>
        </w:rPr>
      </w:pPr>
    </w:p>
    <w:p w14:paraId="3565A443" w14:textId="5BF216FA" w:rsidR="003C016A" w:rsidRPr="00894B62" w:rsidRDefault="003C016A" w:rsidP="00AF3086">
      <w:pPr>
        <w:numPr>
          <w:ilvl w:val="0"/>
          <w:numId w:val="5"/>
        </w:numPr>
        <w:rPr>
          <w:rFonts w:eastAsia="Calibri"/>
        </w:rPr>
      </w:pPr>
      <w:r>
        <w:rPr>
          <w:rFonts w:eastAsia="Calibri"/>
        </w:rPr>
        <w:t xml:space="preserve">There is </w:t>
      </w:r>
      <w:r w:rsidR="0018338B">
        <w:rPr>
          <w:rFonts w:eastAsia="Calibri"/>
        </w:rPr>
        <w:t>continued</w:t>
      </w:r>
      <w:r w:rsidR="00985232">
        <w:rPr>
          <w:rFonts w:eastAsia="Calibri"/>
        </w:rPr>
        <w:t xml:space="preserve"> </w:t>
      </w:r>
      <w:r>
        <w:rPr>
          <w:rFonts w:eastAsia="Calibri"/>
        </w:rPr>
        <w:t xml:space="preserve">pressure within the anaesthetic nursing/ OPD team across both </w:t>
      </w:r>
      <w:r w:rsidR="00954AD1">
        <w:rPr>
          <w:rFonts w:eastAsia="Calibri"/>
        </w:rPr>
        <w:t>Cath</w:t>
      </w:r>
      <w:r>
        <w:rPr>
          <w:rFonts w:eastAsia="Calibri"/>
        </w:rPr>
        <w:t xml:space="preserve"> lab and theatres which is being managed utilising temporary staffing, ensuring cross-divisional flexibility and with a </w:t>
      </w:r>
      <w:r w:rsidR="00954AD1">
        <w:rPr>
          <w:rFonts w:eastAsia="Calibri"/>
        </w:rPr>
        <w:t>longer-term</w:t>
      </w:r>
      <w:r>
        <w:rPr>
          <w:rFonts w:eastAsia="Calibri"/>
        </w:rPr>
        <w:t xml:space="preserve"> plan to merge the 2</w:t>
      </w:r>
      <w:r w:rsidR="00E37874">
        <w:rPr>
          <w:rFonts w:eastAsia="Calibri"/>
        </w:rPr>
        <w:t xml:space="preserve"> teams </w:t>
      </w:r>
      <w:r w:rsidR="00985232">
        <w:rPr>
          <w:rFonts w:eastAsia="Calibri"/>
        </w:rPr>
        <w:t>planned for April 2022.</w:t>
      </w:r>
      <w:r w:rsidR="0018338B">
        <w:rPr>
          <w:rFonts w:eastAsia="Calibri"/>
        </w:rPr>
        <w:t xml:space="preserve"> Recruitment to this team has </w:t>
      </w:r>
      <w:r w:rsidR="006A3C56">
        <w:rPr>
          <w:rFonts w:eastAsia="Calibri"/>
        </w:rPr>
        <w:t>had</w:t>
      </w:r>
      <w:r w:rsidR="0018338B">
        <w:rPr>
          <w:rFonts w:eastAsia="Calibri"/>
        </w:rPr>
        <w:t xml:space="preserve"> limited </w:t>
      </w:r>
      <w:r w:rsidR="006A3C56">
        <w:rPr>
          <w:rFonts w:eastAsia="Calibri"/>
        </w:rPr>
        <w:t xml:space="preserve">success </w:t>
      </w:r>
      <w:r w:rsidR="0018338B">
        <w:rPr>
          <w:rFonts w:eastAsia="Calibri"/>
        </w:rPr>
        <w:t xml:space="preserve">and </w:t>
      </w:r>
      <w:r w:rsidR="005851B9">
        <w:rPr>
          <w:rFonts w:eastAsia="Calibri"/>
        </w:rPr>
        <w:t>alternative strategies for support are being explored</w:t>
      </w:r>
      <w:r w:rsidR="006A3C56">
        <w:rPr>
          <w:rFonts w:eastAsia="Calibri"/>
        </w:rPr>
        <w:t>.</w:t>
      </w:r>
    </w:p>
    <w:p w14:paraId="13B393AA" w14:textId="5A68657C" w:rsidR="00172407" w:rsidRDefault="00172407" w:rsidP="00AF3086">
      <w:pPr>
        <w:rPr>
          <w:rFonts w:eastAsia="Calibri"/>
        </w:rPr>
      </w:pPr>
    </w:p>
    <w:p w14:paraId="720A3A08" w14:textId="400CDF31" w:rsidR="00750D6A" w:rsidRDefault="00750D6A" w:rsidP="00AF3086">
      <w:pPr>
        <w:rPr>
          <w:rFonts w:eastAsia="Calibri"/>
        </w:rPr>
      </w:pPr>
    </w:p>
    <w:p w14:paraId="5AD43738" w14:textId="276A9E3A" w:rsidR="00D64F5F" w:rsidRPr="00936175" w:rsidRDefault="00357C1D" w:rsidP="00AF3086">
      <w:pPr>
        <w:rPr>
          <w:rFonts w:eastAsia="Calibri" w:cs="Arial"/>
          <w:b/>
          <w:szCs w:val="22"/>
        </w:rPr>
      </w:pPr>
      <w:r>
        <w:rPr>
          <w:rFonts w:eastAsia="Calibri" w:cs="Arial"/>
          <w:b/>
          <w:szCs w:val="22"/>
        </w:rPr>
        <w:t>4</w:t>
      </w:r>
      <w:r w:rsidR="009A5FF6">
        <w:rPr>
          <w:rFonts w:eastAsia="Calibri" w:cs="Arial"/>
          <w:b/>
          <w:szCs w:val="22"/>
        </w:rPr>
        <w:t>. Summary</w:t>
      </w:r>
    </w:p>
    <w:p w14:paraId="1A573D3B" w14:textId="77777777" w:rsidR="00DD030B" w:rsidRPr="00936175" w:rsidRDefault="00DD030B" w:rsidP="00AF3086">
      <w:pPr>
        <w:rPr>
          <w:rFonts w:eastAsia="Calibri" w:cs="Arial"/>
          <w:b/>
          <w:szCs w:val="22"/>
        </w:rPr>
      </w:pPr>
    </w:p>
    <w:p w14:paraId="1FD4CAC4" w14:textId="6D1CD24E" w:rsidR="00C027BA" w:rsidRDefault="009079AD" w:rsidP="00AF3086">
      <w:pPr>
        <w:rPr>
          <w:rFonts w:eastAsia="Calibri"/>
        </w:rPr>
      </w:pPr>
      <w:bookmarkStart w:id="2" w:name="_Hlk77316698"/>
      <w:r>
        <w:rPr>
          <w:rFonts w:eastAsia="Calibri"/>
        </w:rPr>
        <w:t>This continues to be</w:t>
      </w:r>
      <w:r w:rsidR="00997ADB">
        <w:rPr>
          <w:rFonts w:eastAsia="Calibri"/>
        </w:rPr>
        <w:t xml:space="preserve"> a </w:t>
      </w:r>
      <w:r w:rsidR="00E92682">
        <w:rPr>
          <w:rFonts w:eastAsia="Calibri"/>
        </w:rPr>
        <w:t xml:space="preserve">particularly </w:t>
      </w:r>
      <w:r w:rsidR="00997ADB">
        <w:rPr>
          <w:rFonts w:eastAsia="Calibri"/>
        </w:rPr>
        <w:t xml:space="preserve">challenging </w:t>
      </w:r>
      <w:r w:rsidR="007C4A5D">
        <w:rPr>
          <w:rFonts w:eastAsia="Calibri"/>
        </w:rPr>
        <w:t>period</w:t>
      </w:r>
      <w:r w:rsidR="00997ADB">
        <w:rPr>
          <w:rFonts w:eastAsia="Calibri"/>
        </w:rPr>
        <w:t xml:space="preserve"> f</w:t>
      </w:r>
      <w:r w:rsidR="00E92682">
        <w:rPr>
          <w:rFonts w:eastAsia="Calibri"/>
        </w:rPr>
        <w:t xml:space="preserve">or all staff working with reduced staffing levels at times. </w:t>
      </w:r>
      <w:r w:rsidR="00C027BA">
        <w:rPr>
          <w:rFonts w:eastAsia="Calibri"/>
        </w:rPr>
        <w:t xml:space="preserve">The Trust has experienced </w:t>
      </w:r>
      <w:r w:rsidR="00C027BA" w:rsidRPr="00C027BA">
        <w:rPr>
          <w:rFonts w:eastAsia="Calibri"/>
        </w:rPr>
        <w:t>an increase in staff absence</w:t>
      </w:r>
      <w:r w:rsidR="00C027BA">
        <w:rPr>
          <w:rFonts w:eastAsia="Calibri"/>
        </w:rPr>
        <w:t xml:space="preserve"> </w:t>
      </w:r>
      <w:r w:rsidR="00172407">
        <w:rPr>
          <w:rFonts w:eastAsia="Calibri"/>
        </w:rPr>
        <w:t xml:space="preserve">during </w:t>
      </w:r>
      <w:r w:rsidR="00C027BA">
        <w:rPr>
          <w:rFonts w:eastAsia="Calibri"/>
        </w:rPr>
        <w:t xml:space="preserve">the covid pandemic </w:t>
      </w:r>
      <w:r w:rsidR="00984271">
        <w:rPr>
          <w:rFonts w:eastAsia="Calibri"/>
        </w:rPr>
        <w:t xml:space="preserve">which </w:t>
      </w:r>
      <w:r w:rsidR="00C027BA">
        <w:rPr>
          <w:rFonts w:eastAsia="Calibri"/>
        </w:rPr>
        <w:t>has contributed to increased staffing pressures, experienced across the NHS.</w:t>
      </w:r>
      <w:r w:rsidR="00E92682">
        <w:rPr>
          <w:rFonts w:eastAsia="Calibri"/>
        </w:rPr>
        <w:t xml:space="preserve"> </w:t>
      </w:r>
      <w:bookmarkEnd w:id="2"/>
      <w:r w:rsidR="008D0FF7">
        <w:rPr>
          <w:rFonts w:eastAsia="Calibri"/>
        </w:rPr>
        <w:t xml:space="preserve">As reported by the Institute for Public Policy Research (IPPR, 2021) 29% of nurses and midwives report that they are more likely to leave the sector than 1 year ago, and as such retention of current staff and recruitment of future staff remains a </w:t>
      </w:r>
      <w:r w:rsidR="00172407">
        <w:rPr>
          <w:rFonts w:eastAsia="Calibri"/>
        </w:rPr>
        <w:t>Trust</w:t>
      </w:r>
      <w:r w:rsidR="008D0FF7">
        <w:rPr>
          <w:rFonts w:eastAsia="Calibri"/>
        </w:rPr>
        <w:t xml:space="preserve"> priority.</w:t>
      </w:r>
    </w:p>
    <w:p w14:paraId="05BCF513" w14:textId="2E79E91A" w:rsidR="00A414B0" w:rsidRDefault="00A414B0" w:rsidP="00AF3086">
      <w:pPr>
        <w:rPr>
          <w:rFonts w:eastAsia="Calibri"/>
        </w:rPr>
      </w:pPr>
      <w:r>
        <w:rPr>
          <w:rFonts w:eastAsia="Calibri"/>
        </w:rPr>
        <w:t xml:space="preserve">Recent national press coverage has highlighted a national nursing ‘crisis’, impacted particularly by a significant reduction in recruitment from Europe. LHCH </w:t>
      </w:r>
      <w:r w:rsidR="006A3C56">
        <w:rPr>
          <w:rFonts w:eastAsia="Calibri"/>
        </w:rPr>
        <w:t>has</w:t>
      </w:r>
      <w:r>
        <w:rPr>
          <w:rFonts w:eastAsia="Calibri"/>
        </w:rPr>
        <w:t xml:space="preserve"> experienc</w:t>
      </w:r>
      <w:r w:rsidR="006A3C56">
        <w:rPr>
          <w:rFonts w:eastAsia="Calibri"/>
        </w:rPr>
        <w:t>ed</w:t>
      </w:r>
      <w:r>
        <w:rPr>
          <w:rFonts w:eastAsia="Calibri"/>
        </w:rPr>
        <w:t xml:space="preserve"> significant nurse staffing challenges but has taken robust action to avert a staffing crisis.</w:t>
      </w:r>
      <w:r w:rsidR="008B6154">
        <w:rPr>
          <w:rFonts w:eastAsia="Calibri"/>
        </w:rPr>
        <w:t xml:space="preserve"> A successful international recruitment programme is</w:t>
      </w:r>
      <w:r w:rsidR="004B4652">
        <w:rPr>
          <w:rFonts w:eastAsia="Calibri"/>
        </w:rPr>
        <w:t xml:space="preserve"> supporting plans </w:t>
      </w:r>
      <w:r w:rsidR="008B6154">
        <w:rPr>
          <w:rFonts w:eastAsia="Calibri"/>
        </w:rPr>
        <w:t>to stabilise the staffing position across the clinical areas.</w:t>
      </w:r>
      <w:r w:rsidR="00F409A6">
        <w:rPr>
          <w:rFonts w:eastAsia="Calibri"/>
        </w:rPr>
        <w:t xml:space="preserve"> </w:t>
      </w:r>
    </w:p>
    <w:p w14:paraId="5A10002A" w14:textId="35991629" w:rsidR="00F60447" w:rsidRDefault="005851B9" w:rsidP="00AF3086">
      <w:pPr>
        <w:rPr>
          <w:rFonts w:eastAsia="Calibri"/>
        </w:rPr>
      </w:pPr>
      <w:r>
        <w:rPr>
          <w:rFonts w:eastAsia="Calibri"/>
        </w:rPr>
        <w:t>A</w:t>
      </w:r>
      <w:r w:rsidR="00F60447">
        <w:rPr>
          <w:rFonts w:eastAsia="Calibri"/>
        </w:rPr>
        <w:t xml:space="preserve"> nursing recruitment lead,</w:t>
      </w:r>
      <w:r>
        <w:rPr>
          <w:rFonts w:eastAsia="Calibri"/>
        </w:rPr>
        <w:t xml:space="preserve"> has been appointed following interview and will commence in the role in March</w:t>
      </w:r>
      <w:r w:rsidR="00F60447">
        <w:rPr>
          <w:rFonts w:eastAsia="Calibri"/>
        </w:rPr>
        <w:t xml:space="preserve"> </w:t>
      </w:r>
      <w:r w:rsidR="006A3C56">
        <w:rPr>
          <w:rFonts w:eastAsia="Calibri"/>
        </w:rPr>
        <w:t xml:space="preserve">2022 </w:t>
      </w:r>
      <w:r w:rsidR="00F60447">
        <w:rPr>
          <w:rFonts w:eastAsia="Calibri"/>
        </w:rPr>
        <w:t>for a period of 12 months to support the Head of Nursing staffing lead &amp; HR team with nursing recruitment and retention</w:t>
      </w:r>
      <w:r w:rsidR="009A50A4">
        <w:rPr>
          <w:rFonts w:eastAsia="Calibri"/>
        </w:rPr>
        <w:t xml:space="preserve"> plans and to support the international nursing recruitment process.</w:t>
      </w:r>
    </w:p>
    <w:p w14:paraId="41737BDF" w14:textId="77777777" w:rsidR="00B97F0D" w:rsidRDefault="00B97F0D" w:rsidP="00AF3086">
      <w:pPr>
        <w:rPr>
          <w:rFonts w:eastAsia="Calibri"/>
        </w:rPr>
      </w:pPr>
    </w:p>
    <w:p w14:paraId="387F5B95" w14:textId="0F2B2C52" w:rsidR="00386084" w:rsidRPr="00357C1D" w:rsidRDefault="0063743D" w:rsidP="00AF3086">
      <w:pPr>
        <w:rPr>
          <w:rFonts w:eastAsia="Calibri"/>
        </w:rPr>
      </w:pPr>
      <w:r w:rsidRPr="000B5CB2">
        <w:rPr>
          <w:rFonts w:eastAsia="Calibri"/>
        </w:rPr>
        <w:t>Each</w:t>
      </w:r>
      <w:r w:rsidR="009A5C35" w:rsidRPr="000B5CB2">
        <w:rPr>
          <w:rFonts w:eastAsia="Calibri"/>
        </w:rPr>
        <w:t xml:space="preserve"> day a review of staffing takes place Trust wide to ensure that all patients can be cared for safely. This </w:t>
      </w:r>
      <w:r w:rsidR="00671A48">
        <w:rPr>
          <w:rFonts w:eastAsia="Calibri"/>
        </w:rPr>
        <w:t>has unfortunately resulted in an increasing number</w:t>
      </w:r>
      <w:r w:rsidR="009A5C35" w:rsidRPr="000B5CB2">
        <w:rPr>
          <w:rFonts w:eastAsia="Calibri"/>
        </w:rPr>
        <w:t xml:space="preserve"> </w:t>
      </w:r>
      <w:r w:rsidR="00671A48">
        <w:rPr>
          <w:rFonts w:eastAsia="Calibri"/>
        </w:rPr>
        <w:t>of</w:t>
      </w:r>
      <w:r w:rsidR="009A5C35" w:rsidRPr="000B5CB2">
        <w:rPr>
          <w:rFonts w:eastAsia="Calibri"/>
        </w:rPr>
        <w:t xml:space="preserve"> staff moves to manage risk and to provide additional support for areas where acuity of patients is </w:t>
      </w:r>
      <w:r w:rsidR="00E41E3B" w:rsidRPr="000B5CB2">
        <w:rPr>
          <w:rFonts w:eastAsia="Calibri"/>
        </w:rPr>
        <w:t>higher,</w:t>
      </w:r>
      <w:r w:rsidR="00CC7F82">
        <w:rPr>
          <w:rFonts w:eastAsia="Calibri"/>
        </w:rPr>
        <w:t xml:space="preserve"> and it is recognised that this is having a negative impact on staff morale at times.</w:t>
      </w:r>
      <w:r w:rsidR="002232F3">
        <w:rPr>
          <w:rFonts w:eastAsia="Calibri"/>
        </w:rPr>
        <w:t xml:space="preserve"> </w:t>
      </w:r>
      <w:r w:rsidR="00E70180">
        <w:rPr>
          <w:rFonts w:eastAsia="Calibri"/>
        </w:rPr>
        <w:t xml:space="preserve">The </w:t>
      </w:r>
      <w:r w:rsidR="00A95E86">
        <w:rPr>
          <w:rFonts w:eastAsia="Calibri"/>
        </w:rPr>
        <w:t>ward manage</w:t>
      </w:r>
      <w:r w:rsidR="00E70180">
        <w:rPr>
          <w:rFonts w:eastAsia="Calibri"/>
        </w:rPr>
        <w:t>r weekend rota continues</w:t>
      </w:r>
      <w:r w:rsidR="00A95E86">
        <w:rPr>
          <w:rFonts w:eastAsia="Calibri"/>
        </w:rPr>
        <w:t xml:space="preserve"> with a ward manager working each weekend to support the hospital co-ordinator</w:t>
      </w:r>
      <w:r w:rsidR="00755F23">
        <w:rPr>
          <w:rFonts w:eastAsia="Calibri"/>
        </w:rPr>
        <w:t>,</w:t>
      </w:r>
      <w:r w:rsidR="00A95E86">
        <w:rPr>
          <w:rFonts w:eastAsia="Calibri"/>
        </w:rPr>
        <w:t xml:space="preserve"> in ensuring</w:t>
      </w:r>
      <w:r w:rsidR="007C19DD">
        <w:rPr>
          <w:rFonts w:eastAsia="Calibri"/>
        </w:rPr>
        <w:t xml:space="preserve"> safe staffing across all areas and </w:t>
      </w:r>
      <w:r w:rsidR="00984271">
        <w:rPr>
          <w:rFonts w:eastAsia="Calibri"/>
        </w:rPr>
        <w:t>keeping in close contact with the duty on-call manager for the Trust.</w:t>
      </w:r>
    </w:p>
    <w:p w14:paraId="768CEAFF" w14:textId="052E5446" w:rsidR="00386084" w:rsidRDefault="00386084" w:rsidP="00AF3086">
      <w:pPr>
        <w:rPr>
          <w:rFonts w:eastAsia="Calibri" w:cs="Arial"/>
          <w:szCs w:val="22"/>
        </w:rPr>
      </w:pPr>
    </w:p>
    <w:p w14:paraId="5D63C6BD" w14:textId="57CC1B2C" w:rsidR="005851B9" w:rsidRDefault="005851B9" w:rsidP="00AF3086">
      <w:pPr>
        <w:rPr>
          <w:rFonts w:eastAsia="Calibri" w:cs="Arial"/>
          <w:szCs w:val="22"/>
        </w:rPr>
      </w:pPr>
    </w:p>
    <w:p w14:paraId="4C3B5102" w14:textId="1A9F9464" w:rsidR="005851B9" w:rsidRDefault="005851B9" w:rsidP="00AF3086">
      <w:pPr>
        <w:rPr>
          <w:rFonts w:eastAsia="Calibri" w:cs="Arial"/>
          <w:szCs w:val="22"/>
        </w:rPr>
      </w:pPr>
    </w:p>
    <w:p w14:paraId="770C91EC" w14:textId="38470385" w:rsidR="005851B9" w:rsidRDefault="005851B9" w:rsidP="00AF3086">
      <w:pPr>
        <w:rPr>
          <w:rFonts w:eastAsia="Calibri" w:cs="Arial"/>
          <w:szCs w:val="22"/>
        </w:rPr>
      </w:pPr>
    </w:p>
    <w:p w14:paraId="175ED7AA" w14:textId="2C846023" w:rsidR="005851B9" w:rsidRDefault="005851B9" w:rsidP="00AF3086">
      <w:pPr>
        <w:rPr>
          <w:rFonts w:eastAsia="Calibri" w:cs="Arial"/>
          <w:szCs w:val="22"/>
        </w:rPr>
      </w:pPr>
    </w:p>
    <w:p w14:paraId="6D68EE36" w14:textId="6D87831A" w:rsidR="005851B9" w:rsidRDefault="005851B9" w:rsidP="00AF3086">
      <w:pPr>
        <w:rPr>
          <w:rFonts w:eastAsia="Calibri" w:cs="Arial"/>
          <w:szCs w:val="22"/>
        </w:rPr>
      </w:pPr>
    </w:p>
    <w:p w14:paraId="02BD7575" w14:textId="77777777" w:rsidR="005851B9" w:rsidRDefault="005851B9" w:rsidP="00AF3086">
      <w:pPr>
        <w:rPr>
          <w:rFonts w:eastAsia="Calibri" w:cs="Arial"/>
          <w:szCs w:val="22"/>
        </w:rPr>
      </w:pPr>
    </w:p>
    <w:p w14:paraId="3C99562D" w14:textId="2F035604" w:rsidR="00F809A1" w:rsidRPr="00D127BE" w:rsidRDefault="00357C1D" w:rsidP="00AF3086">
      <w:pPr>
        <w:rPr>
          <w:rFonts w:eastAsia="Calibri" w:cs="Arial"/>
          <w:b/>
          <w:szCs w:val="22"/>
        </w:rPr>
      </w:pPr>
      <w:r>
        <w:rPr>
          <w:rFonts w:eastAsia="Calibri" w:cs="Arial"/>
          <w:b/>
          <w:szCs w:val="22"/>
        </w:rPr>
        <w:t>5</w:t>
      </w:r>
      <w:r w:rsidR="00F809A1" w:rsidRPr="00D127BE">
        <w:rPr>
          <w:rFonts w:eastAsia="Calibri" w:cs="Arial"/>
          <w:b/>
          <w:szCs w:val="22"/>
        </w:rPr>
        <w:t>.</w:t>
      </w:r>
      <w:r w:rsidR="00C8030B">
        <w:rPr>
          <w:rFonts w:eastAsia="Calibri" w:cs="Arial"/>
          <w:b/>
          <w:szCs w:val="22"/>
        </w:rPr>
        <w:tab/>
      </w:r>
      <w:r w:rsidR="00F809A1" w:rsidRPr="00D127BE">
        <w:rPr>
          <w:rFonts w:eastAsia="Calibri" w:cs="Arial"/>
          <w:b/>
          <w:szCs w:val="22"/>
        </w:rPr>
        <w:t>Recommendations</w:t>
      </w:r>
    </w:p>
    <w:p w14:paraId="618BD91B" w14:textId="77777777" w:rsidR="00F809A1" w:rsidRPr="00D127BE" w:rsidRDefault="00F809A1" w:rsidP="00AF3086">
      <w:pPr>
        <w:rPr>
          <w:rFonts w:eastAsia="Calibri" w:cs="Arial"/>
          <w:b/>
          <w:szCs w:val="22"/>
        </w:rPr>
      </w:pPr>
    </w:p>
    <w:p w14:paraId="4D14DC11" w14:textId="33E53EA9" w:rsidR="00F809A1" w:rsidRDefault="00F809A1" w:rsidP="00AF3086">
      <w:pPr>
        <w:rPr>
          <w:rFonts w:eastAsia="Calibri" w:cs="Arial"/>
          <w:bCs/>
          <w:szCs w:val="22"/>
        </w:rPr>
      </w:pPr>
      <w:r w:rsidRPr="007E41C4">
        <w:rPr>
          <w:rFonts w:eastAsia="Calibri" w:cs="Arial"/>
          <w:bCs/>
          <w:szCs w:val="22"/>
        </w:rPr>
        <w:t xml:space="preserve">The Board of Directors are </w:t>
      </w:r>
      <w:r w:rsidR="007E41C4">
        <w:rPr>
          <w:rFonts w:eastAsia="Calibri" w:cs="Arial"/>
          <w:bCs/>
          <w:szCs w:val="22"/>
        </w:rPr>
        <w:t>ask</w:t>
      </w:r>
      <w:r w:rsidRPr="007E41C4">
        <w:rPr>
          <w:rFonts w:eastAsia="Calibri" w:cs="Arial"/>
          <w:bCs/>
          <w:szCs w:val="22"/>
        </w:rPr>
        <w:t>ed to:</w:t>
      </w:r>
    </w:p>
    <w:p w14:paraId="7CA196C2" w14:textId="77777777" w:rsidR="007E41C4" w:rsidRPr="00D127BE" w:rsidRDefault="007E41C4" w:rsidP="00AF3086">
      <w:pPr>
        <w:rPr>
          <w:rFonts w:eastAsia="Calibri" w:cs="Arial"/>
          <w:b/>
          <w:szCs w:val="22"/>
        </w:rPr>
      </w:pPr>
    </w:p>
    <w:p w14:paraId="344B4A4C" w14:textId="77777777" w:rsidR="00F809A1" w:rsidRPr="00D127BE" w:rsidRDefault="00F809A1" w:rsidP="00AF3086">
      <w:pPr>
        <w:numPr>
          <w:ilvl w:val="0"/>
          <w:numId w:val="2"/>
        </w:numPr>
        <w:ind w:left="709" w:hanging="289"/>
        <w:rPr>
          <w:rFonts w:eastAsia="Calibri" w:cs="Arial"/>
          <w:szCs w:val="22"/>
        </w:rPr>
      </w:pPr>
      <w:r w:rsidRPr="00D127BE">
        <w:rPr>
          <w:rFonts w:eastAsia="Calibri" w:cs="Arial"/>
          <w:szCs w:val="22"/>
        </w:rPr>
        <w:t>Receive assurance related to nurse staffing for in-patient wards, as per national directives, noting actions being taken to ensure patient safety and quality of care are maintained.</w:t>
      </w:r>
    </w:p>
    <w:p w14:paraId="476E2272" w14:textId="77777777" w:rsidR="00F809A1" w:rsidRPr="00D127BE" w:rsidRDefault="00F809A1" w:rsidP="00AF3086">
      <w:pPr>
        <w:numPr>
          <w:ilvl w:val="0"/>
          <w:numId w:val="2"/>
        </w:numPr>
        <w:ind w:left="709" w:hanging="289"/>
        <w:rPr>
          <w:rFonts w:eastAsia="Calibri" w:cs="Arial"/>
          <w:szCs w:val="22"/>
        </w:rPr>
      </w:pPr>
      <w:r w:rsidRPr="00D127BE">
        <w:rPr>
          <w:rFonts w:eastAsia="Calibri" w:cs="Arial"/>
          <w:szCs w:val="22"/>
        </w:rPr>
        <w:t>Receive assurance that staffing is appropriate and is flexed according to patient need and patient safety risk assessments, following escalation processes.</w:t>
      </w:r>
    </w:p>
    <w:p w14:paraId="672C4B46" w14:textId="4129C6B9" w:rsidR="00F809A1" w:rsidRPr="00D127BE" w:rsidRDefault="00F809A1" w:rsidP="00AF3086">
      <w:pPr>
        <w:numPr>
          <w:ilvl w:val="0"/>
          <w:numId w:val="2"/>
        </w:numPr>
        <w:rPr>
          <w:rFonts w:cs="Arial"/>
          <w:szCs w:val="22"/>
        </w:rPr>
      </w:pPr>
      <w:r w:rsidRPr="00D127BE">
        <w:rPr>
          <w:rFonts w:eastAsia="Calibri" w:cs="Arial"/>
          <w:szCs w:val="22"/>
        </w:rPr>
        <w:t xml:space="preserve">Receive monthly reports of staffing at all planned </w:t>
      </w:r>
      <w:r w:rsidR="007C4A5D">
        <w:rPr>
          <w:rFonts w:eastAsia="Calibri" w:cs="Arial"/>
          <w:szCs w:val="22"/>
        </w:rPr>
        <w:t>B</w:t>
      </w:r>
      <w:r w:rsidRPr="00D127BE">
        <w:rPr>
          <w:rFonts w:eastAsia="Calibri" w:cs="Arial"/>
          <w:szCs w:val="22"/>
        </w:rPr>
        <w:t>oard meetings.</w:t>
      </w:r>
    </w:p>
    <w:p w14:paraId="2950B0CC" w14:textId="2DFEF801" w:rsidR="00F809A1" w:rsidRDefault="006A13C4" w:rsidP="00AF3086">
      <w:pPr>
        <w:numPr>
          <w:ilvl w:val="0"/>
          <w:numId w:val="2"/>
        </w:numPr>
        <w:rPr>
          <w:rFonts w:eastAsia="Calibri" w:cs="Arial"/>
          <w:szCs w:val="22"/>
        </w:rPr>
      </w:pPr>
      <w:r>
        <w:rPr>
          <w:rFonts w:eastAsia="Calibri" w:cs="Arial"/>
          <w:szCs w:val="22"/>
        </w:rPr>
        <w:t>Receive the ‘c</w:t>
      </w:r>
      <w:r w:rsidR="00F809A1" w:rsidRPr="00D127BE">
        <w:rPr>
          <w:rFonts w:eastAsia="Calibri" w:cs="Arial"/>
          <w:szCs w:val="22"/>
        </w:rPr>
        <w:t>are hours per patient day</w:t>
      </w:r>
      <w:r>
        <w:rPr>
          <w:rFonts w:eastAsia="Calibri" w:cs="Arial"/>
          <w:szCs w:val="22"/>
        </w:rPr>
        <w:t>’</w:t>
      </w:r>
      <w:r w:rsidR="00F809A1" w:rsidRPr="00D127BE">
        <w:rPr>
          <w:rFonts w:eastAsia="Calibri" w:cs="Arial"/>
          <w:szCs w:val="22"/>
        </w:rPr>
        <w:t xml:space="preserve"> (CHPPD) </w:t>
      </w:r>
      <w:r w:rsidR="007C4A5D" w:rsidRPr="00D127BE">
        <w:rPr>
          <w:rFonts w:eastAsia="Calibri" w:cs="Arial"/>
          <w:szCs w:val="22"/>
        </w:rPr>
        <w:t>data.</w:t>
      </w:r>
      <w:r w:rsidR="00F809A1" w:rsidRPr="00D127BE">
        <w:rPr>
          <w:rFonts w:eastAsia="Calibri" w:cs="Arial"/>
          <w:szCs w:val="22"/>
        </w:rPr>
        <w:t xml:space="preserve"> </w:t>
      </w:r>
    </w:p>
    <w:p w14:paraId="179B38F6" w14:textId="5475E169" w:rsidR="00F12DF1" w:rsidRDefault="002232F3" w:rsidP="00AF3086">
      <w:pPr>
        <w:numPr>
          <w:ilvl w:val="0"/>
          <w:numId w:val="2"/>
        </w:numPr>
        <w:rPr>
          <w:rFonts w:eastAsia="Calibri" w:cs="Arial"/>
          <w:szCs w:val="22"/>
        </w:rPr>
      </w:pPr>
      <w:r>
        <w:rPr>
          <w:rFonts w:eastAsia="Calibri" w:cs="Arial"/>
          <w:szCs w:val="22"/>
        </w:rPr>
        <w:t>Receive assurance that the review of ward</w:t>
      </w:r>
      <w:r w:rsidR="00997ADB">
        <w:rPr>
          <w:rFonts w:eastAsia="Calibri" w:cs="Arial"/>
          <w:szCs w:val="22"/>
        </w:rPr>
        <w:t xml:space="preserve"> establishments and models of care for each inpatie</w:t>
      </w:r>
      <w:r w:rsidR="00E92682">
        <w:rPr>
          <w:rFonts w:eastAsia="Calibri" w:cs="Arial"/>
          <w:szCs w:val="22"/>
        </w:rPr>
        <w:t xml:space="preserve">nt area has been completed and </w:t>
      </w:r>
      <w:r w:rsidR="00792636">
        <w:rPr>
          <w:rFonts w:eastAsia="Calibri" w:cs="Arial"/>
          <w:szCs w:val="22"/>
        </w:rPr>
        <w:t>is being reviewed in</w:t>
      </w:r>
      <w:r w:rsidR="00E92682">
        <w:rPr>
          <w:rFonts w:eastAsia="Calibri" w:cs="Arial"/>
          <w:szCs w:val="22"/>
        </w:rPr>
        <w:t xml:space="preserve"> 202</w:t>
      </w:r>
      <w:r w:rsidR="00F60447">
        <w:rPr>
          <w:rFonts w:eastAsia="Calibri" w:cs="Arial"/>
          <w:szCs w:val="22"/>
        </w:rPr>
        <w:t>2</w:t>
      </w:r>
      <w:r w:rsidR="00A414B0">
        <w:rPr>
          <w:rFonts w:eastAsia="Calibri" w:cs="Arial"/>
          <w:szCs w:val="22"/>
        </w:rPr>
        <w:t>, in accordance with covid recovery and escalation plans.</w:t>
      </w:r>
    </w:p>
    <w:p w14:paraId="38E4E758" w14:textId="694DC8B9" w:rsidR="006A13C4" w:rsidRDefault="006A13C4" w:rsidP="00AF3086">
      <w:pPr>
        <w:numPr>
          <w:ilvl w:val="0"/>
          <w:numId w:val="2"/>
        </w:numPr>
        <w:rPr>
          <w:rFonts w:eastAsia="Calibri" w:cs="Arial"/>
          <w:szCs w:val="22"/>
        </w:rPr>
      </w:pPr>
      <w:r>
        <w:rPr>
          <w:rFonts w:eastAsia="Calibri" w:cs="Arial"/>
          <w:szCs w:val="22"/>
        </w:rPr>
        <w:t>Receive assurance that a robus</w:t>
      </w:r>
      <w:r w:rsidR="00C027BA">
        <w:rPr>
          <w:rFonts w:eastAsia="Calibri" w:cs="Arial"/>
          <w:szCs w:val="22"/>
        </w:rPr>
        <w:t>t recruitment plan continues</w:t>
      </w:r>
      <w:r w:rsidR="000C2780">
        <w:rPr>
          <w:rFonts w:eastAsia="Calibri" w:cs="Arial"/>
          <w:szCs w:val="22"/>
        </w:rPr>
        <w:t>,</w:t>
      </w:r>
      <w:r w:rsidR="003C1B55">
        <w:rPr>
          <w:rFonts w:eastAsia="Calibri" w:cs="Arial"/>
          <w:szCs w:val="22"/>
        </w:rPr>
        <w:t xml:space="preserve"> including </w:t>
      </w:r>
      <w:r w:rsidR="000C2780">
        <w:rPr>
          <w:rFonts w:eastAsia="Calibri" w:cs="Arial"/>
          <w:szCs w:val="22"/>
        </w:rPr>
        <w:t>an</w:t>
      </w:r>
      <w:r w:rsidR="00D44E23">
        <w:rPr>
          <w:rFonts w:eastAsia="Calibri" w:cs="Arial"/>
          <w:szCs w:val="22"/>
        </w:rPr>
        <w:t xml:space="preserve"> </w:t>
      </w:r>
      <w:r w:rsidR="00E41E3B">
        <w:rPr>
          <w:rFonts w:eastAsia="Calibri" w:cs="Arial"/>
          <w:szCs w:val="22"/>
        </w:rPr>
        <w:t>extended overseas</w:t>
      </w:r>
      <w:r w:rsidR="000C2780">
        <w:rPr>
          <w:rFonts w:eastAsia="Calibri" w:cs="Arial"/>
          <w:szCs w:val="22"/>
        </w:rPr>
        <w:t xml:space="preserve"> recruitment plan.</w:t>
      </w:r>
    </w:p>
    <w:p w14:paraId="408BFABA" w14:textId="77777777" w:rsidR="00131E35" w:rsidRDefault="00131E35" w:rsidP="00AF3086">
      <w:pPr>
        <w:numPr>
          <w:ilvl w:val="0"/>
          <w:numId w:val="2"/>
        </w:numPr>
        <w:rPr>
          <w:rFonts w:eastAsia="Calibri" w:cs="Arial"/>
          <w:szCs w:val="22"/>
        </w:rPr>
      </w:pPr>
      <w:r>
        <w:rPr>
          <w:rFonts w:eastAsia="Calibri" w:cs="Arial"/>
          <w:szCs w:val="22"/>
        </w:rPr>
        <w:t>Receive assurance that revised models of nursing care, utilising Registe</w:t>
      </w:r>
      <w:r w:rsidR="00997ADB">
        <w:rPr>
          <w:rFonts w:eastAsia="Calibri" w:cs="Arial"/>
          <w:szCs w:val="22"/>
        </w:rPr>
        <w:t xml:space="preserve">red </w:t>
      </w:r>
      <w:r w:rsidR="00997ADB" w:rsidRPr="00D44E23">
        <w:rPr>
          <w:rFonts w:eastAsia="Calibri" w:cs="Arial"/>
          <w:szCs w:val="22"/>
        </w:rPr>
        <w:t>Nursing</w:t>
      </w:r>
      <w:r w:rsidR="00997ADB">
        <w:rPr>
          <w:rFonts w:eastAsia="Calibri" w:cs="Arial"/>
          <w:szCs w:val="22"/>
        </w:rPr>
        <w:t xml:space="preserve"> Associates </w:t>
      </w:r>
      <w:r w:rsidR="008B6211">
        <w:rPr>
          <w:rFonts w:eastAsia="Calibri" w:cs="Arial"/>
          <w:szCs w:val="22"/>
        </w:rPr>
        <w:t>and apprentices</w:t>
      </w:r>
      <w:r w:rsidR="00552E7E">
        <w:rPr>
          <w:rFonts w:eastAsia="Calibri" w:cs="Arial"/>
          <w:szCs w:val="22"/>
        </w:rPr>
        <w:t xml:space="preserve"> </w:t>
      </w:r>
      <w:r w:rsidR="00997ADB">
        <w:rPr>
          <w:rFonts w:eastAsia="Calibri" w:cs="Arial"/>
          <w:szCs w:val="22"/>
        </w:rPr>
        <w:t xml:space="preserve">continue to be </w:t>
      </w:r>
      <w:r w:rsidR="00193490">
        <w:rPr>
          <w:rFonts w:eastAsia="Calibri" w:cs="Arial"/>
          <w:szCs w:val="22"/>
        </w:rPr>
        <w:t>implemented.</w:t>
      </w:r>
    </w:p>
    <w:p w14:paraId="551E90A7" w14:textId="77777777" w:rsidR="000C2780" w:rsidRDefault="000C2780" w:rsidP="00AF3086">
      <w:pPr>
        <w:numPr>
          <w:ilvl w:val="0"/>
          <w:numId w:val="2"/>
        </w:numPr>
        <w:rPr>
          <w:rFonts w:eastAsia="Calibri" w:cs="Arial"/>
          <w:szCs w:val="22"/>
        </w:rPr>
      </w:pPr>
      <w:r>
        <w:rPr>
          <w:rFonts w:eastAsia="Calibri" w:cs="Arial"/>
          <w:szCs w:val="22"/>
        </w:rPr>
        <w:t>Receive assurance that alternative temporary staffing options are being explored.</w:t>
      </w:r>
    </w:p>
    <w:p w14:paraId="10A043C4" w14:textId="1671EDD2" w:rsidR="00C027BA" w:rsidRDefault="00C027BA" w:rsidP="00AF3086">
      <w:pPr>
        <w:numPr>
          <w:ilvl w:val="0"/>
          <w:numId w:val="2"/>
        </w:numPr>
        <w:rPr>
          <w:rFonts w:eastAsia="Calibri" w:cs="Arial"/>
          <w:szCs w:val="22"/>
        </w:rPr>
      </w:pPr>
      <w:r>
        <w:rPr>
          <w:rFonts w:eastAsia="Calibri" w:cs="Arial"/>
          <w:szCs w:val="22"/>
        </w:rPr>
        <w:t>Receive</w:t>
      </w:r>
      <w:r w:rsidR="00984271">
        <w:rPr>
          <w:rFonts w:eastAsia="Calibri" w:cs="Arial"/>
          <w:szCs w:val="22"/>
        </w:rPr>
        <w:t xml:space="preserve"> assurance that staffing escalation plans are in place </w:t>
      </w:r>
      <w:r w:rsidR="00E92682">
        <w:rPr>
          <w:rFonts w:eastAsia="Calibri" w:cs="Arial"/>
          <w:szCs w:val="22"/>
        </w:rPr>
        <w:t xml:space="preserve">to be enacted when significant </w:t>
      </w:r>
      <w:r w:rsidR="00984271">
        <w:rPr>
          <w:rFonts w:eastAsia="Calibri" w:cs="Arial"/>
          <w:szCs w:val="22"/>
        </w:rPr>
        <w:t>staffing pressures are seen during the covid pandemic.</w:t>
      </w:r>
    </w:p>
    <w:p w14:paraId="45172394" w14:textId="77777777" w:rsidR="00F12DF1" w:rsidRDefault="00F12DF1" w:rsidP="00AF3086">
      <w:pPr>
        <w:rPr>
          <w:rFonts w:cs="Arial"/>
          <w:color w:val="FF0000"/>
          <w:szCs w:val="22"/>
        </w:rPr>
      </w:pPr>
    </w:p>
    <w:p w14:paraId="31F64267" w14:textId="394FCA78" w:rsidR="005851B9" w:rsidRPr="005851B9" w:rsidRDefault="005851B9" w:rsidP="005851B9">
      <w:pPr>
        <w:pStyle w:val="ListParagraph"/>
        <w:numPr>
          <w:ilvl w:val="0"/>
          <w:numId w:val="2"/>
        </w:numPr>
        <w:rPr>
          <w:rFonts w:cs="Arial"/>
          <w:color w:val="FF0000"/>
          <w:szCs w:val="22"/>
        </w:rPr>
        <w:sectPr w:rsidR="005851B9" w:rsidRPr="005851B9" w:rsidSect="00C8030B">
          <w:footerReference w:type="even" r:id="rId12"/>
          <w:footerReference w:type="default" r:id="rId13"/>
          <w:pgSz w:w="11906" w:h="16838"/>
          <w:pgMar w:top="709" w:right="1247" w:bottom="567" w:left="1247" w:header="720" w:footer="720" w:gutter="0"/>
          <w:cols w:space="720"/>
          <w:docGrid w:linePitch="326"/>
        </w:sectPr>
      </w:pPr>
    </w:p>
    <w:p w14:paraId="4F5E2C67" w14:textId="77777777" w:rsidR="00C92721" w:rsidRPr="00625282" w:rsidRDefault="00FB66F8" w:rsidP="00AF3086">
      <w:pPr>
        <w:rPr>
          <w:rFonts w:cs="Arial"/>
          <w:b/>
          <w:szCs w:val="22"/>
        </w:rPr>
      </w:pPr>
      <w:r>
        <w:rPr>
          <w:rFonts w:cs="Arial"/>
          <w:b/>
          <w:szCs w:val="22"/>
        </w:rPr>
        <w:t>Appendix 1</w:t>
      </w:r>
    </w:p>
    <w:p w14:paraId="6ADA5417" w14:textId="77777777" w:rsidR="00C92721" w:rsidRPr="00625282" w:rsidRDefault="00C92721" w:rsidP="00AF3086">
      <w:pPr>
        <w:spacing w:after="200" w:line="276" w:lineRule="auto"/>
        <w:rPr>
          <w:rFonts w:eastAsia="Calibri" w:cs="Arial"/>
          <w:b/>
          <w:szCs w:val="22"/>
        </w:rPr>
      </w:pPr>
      <w:r w:rsidRPr="00625282">
        <w:rPr>
          <w:rFonts w:eastAsia="Calibri" w:cs="Arial"/>
          <w:b/>
          <w:szCs w:val="22"/>
        </w:rPr>
        <w:t xml:space="preserve">Introduction to Care Hours per patient Day (CHPPD) </w:t>
      </w:r>
    </w:p>
    <w:p w14:paraId="54D8ED0A" w14:textId="6969C070" w:rsidR="00C92721" w:rsidRPr="00625282" w:rsidRDefault="00C92721" w:rsidP="00AF3086">
      <w:pPr>
        <w:spacing w:after="200" w:line="276" w:lineRule="auto"/>
        <w:rPr>
          <w:rFonts w:eastAsia="Calibri" w:cs="Arial"/>
          <w:szCs w:val="22"/>
        </w:rPr>
      </w:pPr>
      <w:r w:rsidRPr="00625282">
        <w:rPr>
          <w:rFonts w:eastAsia="Calibri" w:cs="Arial"/>
          <w:szCs w:val="22"/>
        </w:rPr>
        <w:t xml:space="preserve">One of the obstacles to eliminating unwarranted variation in nursing and care staff deployment across the NHS provider sector has been the absence of a single means of recording and reporting deployment. Conventional units of measurement that have been developed </w:t>
      </w:r>
      <w:r w:rsidR="003D4A28" w:rsidRPr="00625282">
        <w:rPr>
          <w:rFonts w:eastAsia="Calibri" w:cs="Arial"/>
          <w:szCs w:val="22"/>
        </w:rPr>
        <w:t>previously</w:t>
      </w:r>
      <w:r w:rsidRPr="00625282">
        <w:rPr>
          <w:rFonts w:eastAsia="Calibri" w:cs="Arial"/>
          <w:szCs w:val="22"/>
        </w:rPr>
        <w:t xml:space="preserve"> have informed the evidence base for staffing </w:t>
      </w:r>
      <w:r w:rsidR="00CD472E" w:rsidRPr="00625282">
        <w:rPr>
          <w:rFonts w:eastAsia="Calibri" w:cs="Arial"/>
          <w:szCs w:val="22"/>
        </w:rPr>
        <w:t>models, –</w:t>
      </w:r>
      <w:r w:rsidRPr="00625282">
        <w:rPr>
          <w:rFonts w:eastAsia="Calibri" w:cs="Arial"/>
          <w:szCs w:val="22"/>
        </w:rPr>
        <w:t xml:space="preserve"> such as reporting staff complements using WTEs, skill-mix or patient to staff ratios at a point in time, but it is recognised by Nurse leaders may not reflect varying staff allocation across the day or include the wider multidisciplinary team. Also, because of the different ways of recording this data, no consistent way of interpreting productivity and efficiency is straightforward nor comparable between organisations. </w:t>
      </w:r>
    </w:p>
    <w:p w14:paraId="210A8E0C" w14:textId="2645A139" w:rsidR="00C92721" w:rsidRPr="00625282" w:rsidRDefault="00C92721" w:rsidP="00AF3086">
      <w:pPr>
        <w:spacing w:after="200" w:line="276" w:lineRule="auto"/>
        <w:rPr>
          <w:rFonts w:eastAsia="Calibri" w:cs="Arial"/>
          <w:szCs w:val="22"/>
        </w:rPr>
      </w:pPr>
      <w:r w:rsidRPr="00625282">
        <w:rPr>
          <w:rFonts w:eastAsia="Calibri" w:cs="Arial"/>
          <w:szCs w:val="22"/>
        </w:rPr>
        <w:t xml:space="preserve">To provide a single consistent way of recording and reporting deployment of staff working on inpatient wards/units we developed, </w:t>
      </w:r>
      <w:r w:rsidR="00CD472E" w:rsidRPr="00625282">
        <w:rPr>
          <w:rFonts w:eastAsia="Calibri" w:cs="Arial"/>
          <w:szCs w:val="22"/>
        </w:rPr>
        <w:t>tested,</w:t>
      </w:r>
      <w:r w:rsidRPr="00625282">
        <w:rPr>
          <w:rFonts w:eastAsia="Calibri" w:cs="Arial"/>
          <w:szCs w:val="22"/>
        </w:rPr>
        <w:t xml:space="preserve"> and adopted Care Hours per Patient Day (CHPPD). </w:t>
      </w:r>
    </w:p>
    <w:p w14:paraId="2CF82E0A" w14:textId="77777777" w:rsidR="00C92721" w:rsidRPr="00625282" w:rsidRDefault="00C92721" w:rsidP="00AF3086">
      <w:pPr>
        <w:numPr>
          <w:ilvl w:val="0"/>
          <w:numId w:val="3"/>
        </w:numPr>
        <w:spacing w:after="200" w:line="276" w:lineRule="auto"/>
        <w:contextualSpacing/>
        <w:rPr>
          <w:rFonts w:eastAsia="Calibri" w:cs="Arial"/>
          <w:szCs w:val="22"/>
        </w:rPr>
      </w:pPr>
      <w:r w:rsidRPr="00625282">
        <w:rPr>
          <w:rFonts w:eastAsia="Calibri" w:cs="Arial"/>
          <w:szCs w:val="22"/>
        </w:rPr>
        <w:t>CHPPD is calculated by adding the hours of registered nurses to the hours of healthcare support workers and dividing the total by every 24 hours of in-patient admissions</w:t>
      </w:r>
      <w:r w:rsidRPr="00625282">
        <w:rPr>
          <w:rFonts w:eastAsia="Calibri" w:cs="Arial"/>
          <w:b/>
          <w:szCs w:val="22"/>
        </w:rPr>
        <w:t xml:space="preserve"> </w:t>
      </w:r>
      <w:r w:rsidRPr="00625282">
        <w:rPr>
          <w:rFonts w:eastAsia="Calibri" w:cs="Arial"/>
          <w:szCs w:val="22"/>
        </w:rPr>
        <w:t>(or approximating 24 patient hours by counts of patients at midnight</w:t>
      </w:r>
      <w:r w:rsidRPr="00625282">
        <w:rPr>
          <w:rFonts w:eastAsia="Calibri" w:cs="Arial"/>
          <w:b/>
          <w:szCs w:val="22"/>
        </w:rPr>
        <w:t>)</w:t>
      </w:r>
    </w:p>
    <w:p w14:paraId="480AFAA4" w14:textId="77777777" w:rsidR="00875634" w:rsidRDefault="00C92721" w:rsidP="00AF3086">
      <w:pPr>
        <w:numPr>
          <w:ilvl w:val="0"/>
          <w:numId w:val="3"/>
        </w:numPr>
        <w:spacing w:after="200" w:line="276" w:lineRule="auto"/>
        <w:contextualSpacing/>
        <w:rPr>
          <w:rFonts w:eastAsia="Calibri" w:cs="Arial"/>
          <w:szCs w:val="22"/>
        </w:rPr>
      </w:pPr>
      <w:r w:rsidRPr="00625282">
        <w:rPr>
          <w:rFonts w:eastAsia="Calibri" w:cs="Arial"/>
          <w:szCs w:val="22"/>
        </w:rPr>
        <w:t>CHPPD reports split out registered nurses</w:t>
      </w:r>
      <w:r w:rsidR="009A15B6">
        <w:rPr>
          <w:rFonts w:eastAsia="Calibri" w:cs="Arial"/>
          <w:szCs w:val="22"/>
        </w:rPr>
        <w:t>, registered &amp; unregistered nurse associates</w:t>
      </w:r>
      <w:r w:rsidRPr="00625282">
        <w:rPr>
          <w:rFonts w:eastAsia="Calibri" w:cs="Arial"/>
          <w:szCs w:val="22"/>
        </w:rPr>
        <w:t xml:space="preserve"> and healthcare support workers to ensure skill mix and care needs are met. (The system calculates this automatically)</w:t>
      </w:r>
    </w:p>
    <w:p w14:paraId="683E4A94" w14:textId="77777777" w:rsidR="008B3EE0" w:rsidRDefault="008B3EE0" w:rsidP="008B3EE0">
      <w:pPr>
        <w:spacing w:after="200" w:line="276" w:lineRule="auto"/>
        <w:contextualSpacing/>
        <w:rPr>
          <w:rFonts w:eastAsia="Calibri" w:cs="Arial"/>
          <w:szCs w:val="22"/>
        </w:rPr>
      </w:pPr>
    </w:p>
    <w:p w14:paraId="38C00A46" w14:textId="77777777" w:rsidR="008B3EE0" w:rsidRDefault="008B3EE0" w:rsidP="008B3EE0">
      <w:pPr>
        <w:spacing w:after="200" w:line="276" w:lineRule="auto"/>
        <w:contextualSpacing/>
        <w:rPr>
          <w:rFonts w:eastAsia="Calibri" w:cs="Arial"/>
          <w:szCs w:val="22"/>
        </w:rPr>
      </w:pPr>
    </w:p>
    <w:p w14:paraId="3A56F898" w14:textId="77777777" w:rsidR="00665BDC" w:rsidRDefault="008B3EE0" w:rsidP="00A00850">
      <w:pPr>
        <w:spacing w:after="200" w:line="276" w:lineRule="auto"/>
        <w:contextualSpacing/>
        <w:rPr>
          <w:rFonts w:eastAsia="Calibri" w:cs="Arial"/>
          <w:szCs w:val="22"/>
        </w:rPr>
      </w:pPr>
      <w:r w:rsidRPr="008B3EE0">
        <w:rPr>
          <w:noProof/>
        </w:rPr>
        <w:t xml:space="preserve"> </w:t>
      </w:r>
    </w:p>
    <w:p w14:paraId="358BBEE7" w14:textId="77777777" w:rsidR="00665BDC" w:rsidRDefault="00665BDC" w:rsidP="00A00850">
      <w:pPr>
        <w:spacing w:after="200" w:line="276" w:lineRule="auto"/>
        <w:contextualSpacing/>
        <w:rPr>
          <w:rFonts w:eastAsia="Calibri" w:cs="Arial"/>
          <w:szCs w:val="22"/>
        </w:rPr>
      </w:pPr>
    </w:p>
    <w:p w14:paraId="4D277C08" w14:textId="77777777" w:rsidR="00665BDC" w:rsidRDefault="00665BDC" w:rsidP="00A00850">
      <w:pPr>
        <w:spacing w:after="200" w:line="276" w:lineRule="auto"/>
        <w:contextualSpacing/>
        <w:rPr>
          <w:rFonts w:eastAsia="Calibri" w:cs="Arial"/>
          <w:szCs w:val="22"/>
        </w:rPr>
      </w:pPr>
    </w:p>
    <w:p w14:paraId="7ECE301F" w14:textId="77777777" w:rsidR="00665BDC" w:rsidRDefault="00665BDC" w:rsidP="00A00850">
      <w:pPr>
        <w:spacing w:after="200" w:line="276" w:lineRule="auto"/>
        <w:contextualSpacing/>
        <w:rPr>
          <w:rFonts w:eastAsia="Calibri" w:cs="Arial"/>
          <w:szCs w:val="22"/>
        </w:rPr>
      </w:pPr>
    </w:p>
    <w:p w14:paraId="471900B5" w14:textId="77777777" w:rsidR="00665BDC" w:rsidRDefault="00665BDC" w:rsidP="00A00850">
      <w:pPr>
        <w:spacing w:after="200" w:line="276" w:lineRule="auto"/>
        <w:contextualSpacing/>
        <w:rPr>
          <w:rFonts w:eastAsia="Calibri" w:cs="Arial"/>
          <w:szCs w:val="22"/>
        </w:rPr>
      </w:pPr>
    </w:p>
    <w:p w14:paraId="253D0BE1" w14:textId="77777777" w:rsidR="00665BDC" w:rsidRDefault="00665BDC" w:rsidP="00A00850">
      <w:pPr>
        <w:spacing w:after="200" w:line="276" w:lineRule="auto"/>
        <w:contextualSpacing/>
        <w:rPr>
          <w:rFonts w:eastAsia="Calibri" w:cs="Arial"/>
          <w:szCs w:val="22"/>
        </w:rPr>
      </w:pPr>
    </w:p>
    <w:p w14:paraId="31FD6E56" w14:textId="77777777" w:rsidR="00665BDC" w:rsidRDefault="00665BDC" w:rsidP="00A00850">
      <w:pPr>
        <w:spacing w:after="200" w:line="276" w:lineRule="auto"/>
        <w:contextualSpacing/>
        <w:rPr>
          <w:rFonts w:eastAsia="Calibri" w:cs="Arial"/>
          <w:szCs w:val="22"/>
        </w:rPr>
      </w:pPr>
    </w:p>
    <w:p w14:paraId="627EAA8A" w14:textId="77777777" w:rsidR="00665BDC" w:rsidRDefault="00665BDC" w:rsidP="00A00850">
      <w:pPr>
        <w:spacing w:after="200" w:line="276" w:lineRule="auto"/>
        <w:contextualSpacing/>
        <w:rPr>
          <w:rFonts w:eastAsia="Calibri" w:cs="Arial"/>
          <w:szCs w:val="22"/>
        </w:rPr>
      </w:pPr>
    </w:p>
    <w:p w14:paraId="30614D0C" w14:textId="77777777" w:rsidR="00665BDC" w:rsidRDefault="00665BDC" w:rsidP="00A00850">
      <w:pPr>
        <w:spacing w:after="200" w:line="276" w:lineRule="auto"/>
        <w:contextualSpacing/>
        <w:rPr>
          <w:rFonts w:eastAsia="Calibri" w:cs="Arial"/>
          <w:szCs w:val="22"/>
        </w:rPr>
      </w:pPr>
    </w:p>
    <w:p w14:paraId="1FD581D4" w14:textId="77777777" w:rsidR="00665BDC" w:rsidRDefault="00665BDC" w:rsidP="00A00850">
      <w:pPr>
        <w:spacing w:after="200" w:line="276" w:lineRule="auto"/>
        <w:contextualSpacing/>
        <w:rPr>
          <w:rFonts w:eastAsia="Calibri" w:cs="Arial"/>
          <w:szCs w:val="22"/>
        </w:rPr>
      </w:pPr>
    </w:p>
    <w:p w14:paraId="5CE26BE5" w14:textId="77777777" w:rsidR="00665BDC" w:rsidRDefault="00665BDC" w:rsidP="00A00850">
      <w:pPr>
        <w:spacing w:after="200" w:line="276" w:lineRule="auto"/>
        <w:contextualSpacing/>
        <w:rPr>
          <w:rFonts w:eastAsia="Calibri" w:cs="Arial"/>
          <w:szCs w:val="22"/>
        </w:rPr>
      </w:pPr>
    </w:p>
    <w:p w14:paraId="75520DC6" w14:textId="77777777" w:rsidR="00665BDC" w:rsidRDefault="00665BDC" w:rsidP="00A00850">
      <w:pPr>
        <w:spacing w:after="200" w:line="276" w:lineRule="auto"/>
        <w:contextualSpacing/>
        <w:rPr>
          <w:rFonts w:eastAsia="Calibri" w:cs="Arial"/>
          <w:szCs w:val="22"/>
        </w:rPr>
      </w:pPr>
    </w:p>
    <w:p w14:paraId="67E7601C" w14:textId="77777777" w:rsidR="00665BDC" w:rsidRDefault="00665BDC" w:rsidP="00A00850">
      <w:pPr>
        <w:spacing w:after="200" w:line="276" w:lineRule="auto"/>
        <w:contextualSpacing/>
        <w:rPr>
          <w:rFonts w:eastAsia="Calibri" w:cs="Arial"/>
          <w:szCs w:val="22"/>
        </w:rPr>
      </w:pPr>
    </w:p>
    <w:p w14:paraId="325F03B0" w14:textId="77777777" w:rsidR="00665BDC" w:rsidRDefault="00665BDC" w:rsidP="00A00850">
      <w:pPr>
        <w:spacing w:after="200" w:line="276" w:lineRule="auto"/>
        <w:contextualSpacing/>
        <w:rPr>
          <w:rFonts w:eastAsia="Calibri" w:cs="Arial"/>
          <w:szCs w:val="22"/>
        </w:rPr>
      </w:pPr>
    </w:p>
    <w:p w14:paraId="021D57E6" w14:textId="77777777" w:rsidR="00665BDC" w:rsidRDefault="00665BDC" w:rsidP="00A00850">
      <w:pPr>
        <w:spacing w:after="200" w:line="276" w:lineRule="auto"/>
        <w:contextualSpacing/>
        <w:rPr>
          <w:rFonts w:eastAsia="Calibri" w:cs="Arial"/>
          <w:szCs w:val="22"/>
        </w:rPr>
      </w:pPr>
    </w:p>
    <w:p w14:paraId="3AC1C7AE" w14:textId="5EBBEBA4" w:rsidR="00581C58" w:rsidRDefault="001A4B4A" w:rsidP="00A00850">
      <w:pPr>
        <w:spacing w:after="200" w:line="276" w:lineRule="auto"/>
        <w:contextualSpacing/>
        <w:rPr>
          <w:b/>
          <w:noProof/>
        </w:rPr>
      </w:pPr>
      <w:r w:rsidRPr="002B7178">
        <w:rPr>
          <w:b/>
          <w:noProof/>
        </w:rPr>
        <w:t xml:space="preserve">CHPPD for </w:t>
      </w:r>
      <w:r w:rsidR="001F213D">
        <w:rPr>
          <w:b/>
          <w:noProof/>
        </w:rPr>
        <w:t>January 2022</w:t>
      </w:r>
    </w:p>
    <w:p w14:paraId="37162FBC" w14:textId="77777777" w:rsidR="001A4B4A" w:rsidRDefault="001A4B4A" w:rsidP="00BC7F7C">
      <w:pPr>
        <w:spacing w:after="200" w:line="276" w:lineRule="auto"/>
        <w:contextualSpacing/>
        <w:rPr>
          <w:rFonts w:eastAsia="Calibri" w:cs="Arial"/>
          <w:szCs w:val="22"/>
        </w:rPr>
      </w:pPr>
    </w:p>
    <w:p w14:paraId="693221C0" w14:textId="77777777" w:rsidR="00B60B64" w:rsidRDefault="00B60B64" w:rsidP="00B60B64">
      <w:pPr>
        <w:spacing w:after="200" w:line="276" w:lineRule="auto"/>
        <w:contextualSpacing/>
        <w:jc w:val="center"/>
        <w:rPr>
          <w:rFonts w:eastAsia="Calibri" w:cs="Arial"/>
          <w:szCs w:val="22"/>
        </w:rPr>
      </w:pPr>
    </w:p>
    <w:p w14:paraId="4345B684" w14:textId="77777777" w:rsidR="00665BDC" w:rsidRDefault="00665BDC" w:rsidP="00B60B64">
      <w:pPr>
        <w:spacing w:after="200" w:line="276" w:lineRule="auto"/>
        <w:contextualSpacing/>
        <w:jc w:val="center"/>
        <w:rPr>
          <w:rFonts w:eastAsia="Calibri" w:cs="Arial"/>
          <w:szCs w:val="22"/>
        </w:rPr>
      </w:pPr>
    </w:p>
    <w:p w14:paraId="6477B1C7" w14:textId="77777777" w:rsidR="00665BDC" w:rsidRDefault="00665BDC" w:rsidP="00B60B64">
      <w:pPr>
        <w:spacing w:after="200" w:line="276" w:lineRule="auto"/>
        <w:contextualSpacing/>
        <w:jc w:val="center"/>
        <w:rPr>
          <w:rFonts w:eastAsia="Calibri" w:cs="Arial"/>
          <w:szCs w:val="22"/>
        </w:rPr>
      </w:pPr>
    </w:p>
    <w:p w14:paraId="5EEC189A" w14:textId="37B55EF3" w:rsidR="00665BDC" w:rsidRDefault="009A50A4" w:rsidP="00B60B64">
      <w:pPr>
        <w:spacing w:after="200" w:line="276" w:lineRule="auto"/>
        <w:contextualSpacing/>
        <w:jc w:val="center"/>
        <w:rPr>
          <w:rFonts w:eastAsia="Calibri" w:cs="Arial"/>
          <w:szCs w:val="22"/>
        </w:rPr>
      </w:pPr>
      <w:r w:rsidRPr="009A50A4">
        <w:rPr>
          <w:noProof/>
        </w:rPr>
        <w:drawing>
          <wp:inline distT="0" distB="0" distL="0" distR="0" wp14:anchorId="1E75A1F1" wp14:editId="04AF6463">
            <wp:extent cx="1228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28725" cy="1676400"/>
                    </a:xfrm>
                    <a:prstGeom prst="rect">
                      <a:avLst/>
                    </a:prstGeom>
                  </pic:spPr>
                </pic:pic>
              </a:graphicData>
            </a:graphic>
          </wp:inline>
        </w:drawing>
      </w:r>
      <w:r w:rsidR="001F213D" w:rsidRPr="001F213D">
        <w:rPr>
          <w:noProof/>
        </w:rPr>
        <w:drawing>
          <wp:inline distT="0" distB="0" distL="0" distR="0" wp14:anchorId="44086073" wp14:editId="4C161341">
            <wp:extent cx="8562975" cy="36195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30341" cy="3648013"/>
                    </a:xfrm>
                    <a:prstGeom prst="rect">
                      <a:avLst/>
                    </a:prstGeom>
                  </pic:spPr>
                </pic:pic>
              </a:graphicData>
            </a:graphic>
          </wp:inline>
        </w:drawing>
      </w:r>
    </w:p>
    <w:p w14:paraId="2278A8B5" w14:textId="6703F393" w:rsidR="004602D6" w:rsidRDefault="004602D6" w:rsidP="002063CE">
      <w:pPr>
        <w:spacing w:after="200" w:line="276" w:lineRule="auto"/>
        <w:contextualSpacing/>
        <w:rPr>
          <w:rFonts w:cs="Arial"/>
          <w:color w:val="FF0000"/>
          <w:szCs w:val="22"/>
        </w:rPr>
      </w:pPr>
    </w:p>
    <w:p w14:paraId="09ECFCA7" w14:textId="77777777" w:rsidR="0054438A" w:rsidRDefault="001A4B4A" w:rsidP="002063CE">
      <w:pPr>
        <w:spacing w:after="200" w:line="276" w:lineRule="auto"/>
        <w:contextualSpacing/>
        <w:rPr>
          <w:rFonts w:cs="Arial"/>
          <w:color w:val="FF0000"/>
          <w:szCs w:val="22"/>
        </w:rPr>
      </w:pP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r>
        <w:rPr>
          <w:rFonts w:cs="Arial"/>
          <w:color w:val="FF0000"/>
          <w:szCs w:val="22"/>
        </w:rPr>
        <w:tab/>
      </w:r>
    </w:p>
    <w:p w14:paraId="63A53E6D" w14:textId="77777777" w:rsidR="00B60B64" w:rsidRDefault="00B60B64" w:rsidP="00B60B64">
      <w:pPr>
        <w:spacing w:after="200" w:line="276" w:lineRule="auto"/>
        <w:contextualSpacing/>
        <w:rPr>
          <w:b/>
          <w:noProof/>
        </w:rPr>
      </w:pPr>
    </w:p>
    <w:p w14:paraId="5558B86F" w14:textId="77777777" w:rsidR="00744D89" w:rsidRDefault="00744D89" w:rsidP="002063CE">
      <w:pPr>
        <w:spacing w:after="200" w:line="276" w:lineRule="auto"/>
        <w:contextualSpacing/>
        <w:rPr>
          <w:b/>
          <w:noProof/>
        </w:rPr>
      </w:pPr>
    </w:p>
    <w:p w14:paraId="47A85630" w14:textId="7F33A01A" w:rsidR="00A61B4B" w:rsidRDefault="00A61B4B" w:rsidP="002063CE">
      <w:pPr>
        <w:spacing w:after="200" w:line="276" w:lineRule="auto"/>
        <w:contextualSpacing/>
        <w:rPr>
          <w:rFonts w:cs="Arial"/>
          <w:color w:val="FF0000"/>
          <w:szCs w:val="22"/>
        </w:rPr>
      </w:pPr>
    </w:p>
    <w:p w14:paraId="7A9209D7" w14:textId="77777777" w:rsidR="009A50A4" w:rsidRDefault="009A50A4" w:rsidP="002063CE">
      <w:pPr>
        <w:spacing w:after="200" w:line="276" w:lineRule="auto"/>
        <w:contextualSpacing/>
        <w:rPr>
          <w:rFonts w:cs="Arial"/>
          <w:color w:val="FF0000"/>
          <w:szCs w:val="22"/>
        </w:rPr>
      </w:pPr>
    </w:p>
    <w:p w14:paraId="1FFF3D71" w14:textId="4D50CE82" w:rsidR="001A4B4A" w:rsidRDefault="001A4B4A" w:rsidP="002063CE">
      <w:pPr>
        <w:spacing w:after="200" w:line="276" w:lineRule="auto"/>
        <w:contextualSpacing/>
        <w:rPr>
          <w:rFonts w:cs="Arial"/>
          <w:b/>
          <w:szCs w:val="22"/>
        </w:rPr>
      </w:pPr>
    </w:p>
    <w:p w14:paraId="0C9E2A8E" w14:textId="042A28A6" w:rsidR="00C02B40" w:rsidRPr="001A4B4A" w:rsidRDefault="00C02B40" w:rsidP="002063CE">
      <w:pPr>
        <w:spacing w:after="200" w:line="276" w:lineRule="auto"/>
        <w:contextualSpacing/>
        <w:rPr>
          <w:rFonts w:cs="Arial"/>
          <w:b/>
          <w:szCs w:val="22"/>
        </w:rPr>
      </w:pPr>
    </w:p>
    <w:sectPr w:rsidR="00C02B40" w:rsidRPr="001A4B4A" w:rsidSect="00874EF5">
      <w:pgSz w:w="16838" w:h="11906" w:orient="landscape"/>
      <w:pgMar w:top="1247" w:right="709" w:bottom="124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B648" w14:textId="77777777" w:rsidR="00634CBE" w:rsidRDefault="00634CBE">
      <w:r>
        <w:separator/>
      </w:r>
    </w:p>
  </w:endnote>
  <w:endnote w:type="continuationSeparator" w:id="0">
    <w:p w14:paraId="6C04D359" w14:textId="77777777" w:rsidR="00634CBE" w:rsidRDefault="0063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5339" w14:textId="77777777" w:rsidR="004260EA" w:rsidRDefault="004260EA" w:rsidP="00BA12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579F0" w14:textId="77777777" w:rsidR="004260EA" w:rsidRDefault="004260EA" w:rsidP="00EB5F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29177"/>
      <w:docPartObj>
        <w:docPartGallery w:val="Page Numbers (Bottom of Page)"/>
        <w:docPartUnique/>
      </w:docPartObj>
    </w:sdtPr>
    <w:sdtEndPr>
      <w:rPr>
        <w:noProof/>
      </w:rPr>
    </w:sdtEndPr>
    <w:sdtContent>
      <w:p w14:paraId="1EB038FC" w14:textId="768F8A84" w:rsidR="007E41C4" w:rsidRDefault="007E41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4B5AF" w14:textId="77777777" w:rsidR="004260EA" w:rsidRDefault="004260EA" w:rsidP="00F30920">
    <w:pPr>
      <w:pStyle w:val="Footer"/>
      <w:ind w:right="360"/>
      <w:jc w:val="both"/>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CC1F" w14:textId="77777777" w:rsidR="00634CBE" w:rsidRDefault="00634CBE">
      <w:r>
        <w:separator/>
      </w:r>
    </w:p>
  </w:footnote>
  <w:footnote w:type="continuationSeparator" w:id="0">
    <w:p w14:paraId="46064566" w14:textId="77777777" w:rsidR="00634CBE" w:rsidRDefault="00634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FE39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B86302"/>
    <w:multiLevelType w:val="hybridMultilevel"/>
    <w:tmpl w:val="140A3CAA"/>
    <w:lvl w:ilvl="0" w:tplc="B5D2DF2A">
      <w:start w:val="1"/>
      <w:numFmt w:val="bullet"/>
      <w:lvlText w:val=""/>
      <w:lvlJc w:val="left"/>
      <w:pPr>
        <w:ind w:left="720" w:hanging="360"/>
      </w:pPr>
      <w:rPr>
        <w:rFonts w:ascii="Wingdings" w:hAnsi="Wingdings"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342D5"/>
    <w:multiLevelType w:val="hybridMultilevel"/>
    <w:tmpl w:val="C61CA1FC"/>
    <w:lvl w:ilvl="0" w:tplc="7A48A8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FB0030"/>
    <w:multiLevelType w:val="hybridMultilevel"/>
    <w:tmpl w:val="CE9A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942C6"/>
    <w:multiLevelType w:val="hybridMultilevel"/>
    <w:tmpl w:val="AA44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E0D95"/>
    <w:multiLevelType w:val="hybridMultilevel"/>
    <w:tmpl w:val="92B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84AEB"/>
    <w:multiLevelType w:val="hybridMultilevel"/>
    <w:tmpl w:val="2486B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5E1D1D"/>
    <w:multiLevelType w:val="hybridMultilevel"/>
    <w:tmpl w:val="34668FFE"/>
    <w:lvl w:ilvl="0" w:tplc="55DE7C26">
      <w:start w:val="1"/>
      <w:numFmt w:val="decimal"/>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BC9215C"/>
    <w:multiLevelType w:val="hybridMultilevel"/>
    <w:tmpl w:val="BD1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52241D"/>
    <w:multiLevelType w:val="hybridMultilevel"/>
    <w:tmpl w:val="9376A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CC7532"/>
    <w:multiLevelType w:val="hybridMultilevel"/>
    <w:tmpl w:val="23C24C4C"/>
    <w:lvl w:ilvl="0" w:tplc="08090001">
      <w:start w:val="1"/>
      <w:numFmt w:val="bullet"/>
      <w:lvlText w:val=""/>
      <w:lvlJc w:val="left"/>
      <w:pPr>
        <w:ind w:left="720" w:hanging="360"/>
      </w:pPr>
      <w:rPr>
        <w:rFonts w:ascii="Symbol" w:hAnsi="Symbol" w:hint="default"/>
      </w:rPr>
    </w:lvl>
    <w:lvl w:ilvl="1" w:tplc="B17A0E78">
      <w:numFmt w:val="bullet"/>
      <w:lvlText w:val="•"/>
      <w:lvlJc w:val="left"/>
      <w:pPr>
        <w:ind w:left="1800" w:hanging="720"/>
      </w:pPr>
      <w:rPr>
        <w:rFonts w:ascii="Calibri" w:eastAsia="Calibri" w:hAnsi="Calibri" w:cs="Calibri"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9B2C37"/>
    <w:multiLevelType w:val="hybridMultilevel"/>
    <w:tmpl w:val="9E4E8F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D550AE0"/>
    <w:multiLevelType w:val="hybridMultilevel"/>
    <w:tmpl w:val="C62A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0"/>
  </w:num>
  <w:num w:numId="4">
    <w:abstractNumId w:val="3"/>
  </w:num>
  <w:num w:numId="5">
    <w:abstractNumId w:val="8"/>
  </w:num>
  <w:num w:numId="6">
    <w:abstractNumId w:val="12"/>
  </w:num>
  <w:num w:numId="7">
    <w:abstractNumId w:val="8"/>
  </w:num>
  <w:num w:numId="8">
    <w:abstractNumId w:val="2"/>
  </w:num>
  <w:num w:numId="9">
    <w:abstractNumId w:val="7"/>
  </w:num>
  <w:num w:numId="10">
    <w:abstractNumId w:val="4"/>
  </w:num>
  <w:num w:numId="11">
    <w:abstractNumId w:val="6"/>
  </w:num>
  <w:num w:numId="12">
    <w:abstractNumId w:val="9"/>
  </w:num>
  <w:num w:numId="13">
    <w:abstractNumId w:val="1"/>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4C"/>
    <w:rsid w:val="0000004E"/>
    <w:rsid w:val="00000E2D"/>
    <w:rsid w:val="00001565"/>
    <w:rsid w:val="000059AC"/>
    <w:rsid w:val="00006268"/>
    <w:rsid w:val="00007921"/>
    <w:rsid w:val="00012D92"/>
    <w:rsid w:val="00012E92"/>
    <w:rsid w:val="000151FE"/>
    <w:rsid w:val="00016417"/>
    <w:rsid w:val="00016E4C"/>
    <w:rsid w:val="000174FA"/>
    <w:rsid w:val="00017CD7"/>
    <w:rsid w:val="00020C57"/>
    <w:rsid w:val="00022877"/>
    <w:rsid w:val="00023D8A"/>
    <w:rsid w:val="0002496C"/>
    <w:rsid w:val="000258BF"/>
    <w:rsid w:val="00025A57"/>
    <w:rsid w:val="00025C41"/>
    <w:rsid w:val="000272F3"/>
    <w:rsid w:val="00027F3B"/>
    <w:rsid w:val="000302FF"/>
    <w:rsid w:val="000304DC"/>
    <w:rsid w:val="00034C46"/>
    <w:rsid w:val="0003577A"/>
    <w:rsid w:val="000379B6"/>
    <w:rsid w:val="00040A47"/>
    <w:rsid w:val="000417F6"/>
    <w:rsid w:val="00041F69"/>
    <w:rsid w:val="00043E75"/>
    <w:rsid w:val="000441C9"/>
    <w:rsid w:val="00044D9E"/>
    <w:rsid w:val="0004605F"/>
    <w:rsid w:val="000479F7"/>
    <w:rsid w:val="00051F51"/>
    <w:rsid w:val="000520B6"/>
    <w:rsid w:val="00062D01"/>
    <w:rsid w:val="00065B8C"/>
    <w:rsid w:val="00065F58"/>
    <w:rsid w:val="00066807"/>
    <w:rsid w:val="00067B20"/>
    <w:rsid w:val="00073E45"/>
    <w:rsid w:val="000750B2"/>
    <w:rsid w:val="000759F1"/>
    <w:rsid w:val="00076E0A"/>
    <w:rsid w:val="000777D9"/>
    <w:rsid w:val="0008039B"/>
    <w:rsid w:val="00081865"/>
    <w:rsid w:val="00083C4A"/>
    <w:rsid w:val="000854A3"/>
    <w:rsid w:val="00086609"/>
    <w:rsid w:val="00086EAA"/>
    <w:rsid w:val="00086FCB"/>
    <w:rsid w:val="00087FED"/>
    <w:rsid w:val="00092C03"/>
    <w:rsid w:val="0009378D"/>
    <w:rsid w:val="00094265"/>
    <w:rsid w:val="000947C5"/>
    <w:rsid w:val="00094B73"/>
    <w:rsid w:val="00095B47"/>
    <w:rsid w:val="0009649E"/>
    <w:rsid w:val="00096622"/>
    <w:rsid w:val="00096AFB"/>
    <w:rsid w:val="000973F9"/>
    <w:rsid w:val="000A279E"/>
    <w:rsid w:val="000A5FE9"/>
    <w:rsid w:val="000A63B0"/>
    <w:rsid w:val="000A7AC6"/>
    <w:rsid w:val="000B1FCB"/>
    <w:rsid w:val="000B3672"/>
    <w:rsid w:val="000B5CB2"/>
    <w:rsid w:val="000C1911"/>
    <w:rsid w:val="000C1C42"/>
    <w:rsid w:val="000C1ED7"/>
    <w:rsid w:val="000C2780"/>
    <w:rsid w:val="000C3413"/>
    <w:rsid w:val="000C36AD"/>
    <w:rsid w:val="000C386D"/>
    <w:rsid w:val="000C4149"/>
    <w:rsid w:val="000C4661"/>
    <w:rsid w:val="000C4EE1"/>
    <w:rsid w:val="000C53F0"/>
    <w:rsid w:val="000D5AD9"/>
    <w:rsid w:val="000E02AD"/>
    <w:rsid w:val="000E315A"/>
    <w:rsid w:val="000E54D5"/>
    <w:rsid w:val="000E6B47"/>
    <w:rsid w:val="000F0859"/>
    <w:rsid w:val="000F12F5"/>
    <w:rsid w:val="000F32AA"/>
    <w:rsid w:val="000F5E49"/>
    <w:rsid w:val="000F6DFC"/>
    <w:rsid w:val="001010F7"/>
    <w:rsid w:val="00104556"/>
    <w:rsid w:val="001069BC"/>
    <w:rsid w:val="00114DD7"/>
    <w:rsid w:val="001162F8"/>
    <w:rsid w:val="001212B9"/>
    <w:rsid w:val="00121B51"/>
    <w:rsid w:val="00122D69"/>
    <w:rsid w:val="00123E4A"/>
    <w:rsid w:val="001247D5"/>
    <w:rsid w:val="001307C6"/>
    <w:rsid w:val="00131523"/>
    <w:rsid w:val="00131E35"/>
    <w:rsid w:val="0013322D"/>
    <w:rsid w:val="00134B77"/>
    <w:rsid w:val="001360CA"/>
    <w:rsid w:val="001368D3"/>
    <w:rsid w:val="00141BF5"/>
    <w:rsid w:val="001429F7"/>
    <w:rsid w:val="001440D6"/>
    <w:rsid w:val="0014472E"/>
    <w:rsid w:val="001478B8"/>
    <w:rsid w:val="00151D35"/>
    <w:rsid w:val="00152063"/>
    <w:rsid w:val="001526E2"/>
    <w:rsid w:val="001542A1"/>
    <w:rsid w:val="00155B36"/>
    <w:rsid w:val="00157614"/>
    <w:rsid w:val="001578D0"/>
    <w:rsid w:val="001609AD"/>
    <w:rsid w:val="00161400"/>
    <w:rsid w:val="00162819"/>
    <w:rsid w:val="00162FF5"/>
    <w:rsid w:val="00165A50"/>
    <w:rsid w:val="00165F6E"/>
    <w:rsid w:val="00172407"/>
    <w:rsid w:val="0017248D"/>
    <w:rsid w:val="0017497C"/>
    <w:rsid w:val="001755C4"/>
    <w:rsid w:val="00175851"/>
    <w:rsid w:val="00176982"/>
    <w:rsid w:val="001777FB"/>
    <w:rsid w:val="001807B5"/>
    <w:rsid w:val="0018338B"/>
    <w:rsid w:val="00186788"/>
    <w:rsid w:val="00191965"/>
    <w:rsid w:val="00192686"/>
    <w:rsid w:val="00193490"/>
    <w:rsid w:val="00194ADD"/>
    <w:rsid w:val="00196BCB"/>
    <w:rsid w:val="0019708F"/>
    <w:rsid w:val="0019725E"/>
    <w:rsid w:val="00197A52"/>
    <w:rsid w:val="001A43AB"/>
    <w:rsid w:val="001A4B4A"/>
    <w:rsid w:val="001A767B"/>
    <w:rsid w:val="001B130F"/>
    <w:rsid w:val="001B1B21"/>
    <w:rsid w:val="001C5458"/>
    <w:rsid w:val="001C6871"/>
    <w:rsid w:val="001C73F9"/>
    <w:rsid w:val="001C78D0"/>
    <w:rsid w:val="001C7D4A"/>
    <w:rsid w:val="001D0FC5"/>
    <w:rsid w:val="001D30B8"/>
    <w:rsid w:val="001D73BA"/>
    <w:rsid w:val="001D7605"/>
    <w:rsid w:val="001E100D"/>
    <w:rsid w:val="001E16CD"/>
    <w:rsid w:val="001E1D79"/>
    <w:rsid w:val="001E323F"/>
    <w:rsid w:val="001E43AA"/>
    <w:rsid w:val="001E51B0"/>
    <w:rsid w:val="001E63B8"/>
    <w:rsid w:val="001E6498"/>
    <w:rsid w:val="001F098B"/>
    <w:rsid w:val="001F213D"/>
    <w:rsid w:val="001F2226"/>
    <w:rsid w:val="001F2CFC"/>
    <w:rsid w:val="001F41AC"/>
    <w:rsid w:val="001F4E3A"/>
    <w:rsid w:val="001F53C4"/>
    <w:rsid w:val="001F5D91"/>
    <w:rsid w:val="001F67FC"/>
    <w:rsid w:val="001F7F2F"/>
    <w:rsid w:val="002060EA"/>
    <w:rsid w:val="002063CE"/>
    <w:rsid w:val="00211312"/>
    <w:rsid w:val="00211442"/>
    <w:rsid w:val="0021178E"/>
    <w:rsid w:val="00211CB1"/>
    <w:rsid w:val="002126AA"/>
    <w:rsid w:val="002169C9"/>
    <w:rsid w:val="002219D5"/>
    <w:rsid w:val="002223AE"/>
    <w:rsid w:val="002232F3"/>
    <w:rsid w:val="002246A7"/>
    <w:rsid w:val="0022655D"/>
    <w:rsid w:val="00226EBD"/>
    <w:rsid w:val="0023116B"/>
    <w:rsid w:val="0023192D"/>
    <w:rsid w:val="00232198"/>
    <w:rsid w:val="00233BF9"/>
    <w:rsid w:val="0023453E"/>
    <w:rsid w:val="0023674B"/>
    <w:rsid w:val="00237B28"/>
    <w:rsid w:val="00237C7C"/>
    <w:rsid w:val="002441C4"/>
    <w:rsid w:val="00244482"/>
    <w:rsid w:val="0025060F"/>
    <w:rsid w:val="00250ADF"/>
    <w:rsid w:val="002546C0"/>
    <w:rsid w:val="00256536"/>
    <w:rsid w:val="00256A7A"/>
    <w:rsid w:val="002570E3"/>
    <w:rsid w:val="002625E5"/>
    <w:rsid w:val="002626E4"/>
    <w:rsid w:val="00262E72"/>
    <w:rsid w:val="00265BD4"/>
    <w:rsid w:val="00266C00"/>
    <w:rsid w:val="002722A3"/>
    <w:rsid w:val="002725D6"/>
    <w:rsid w:val="0027329D"/>
    <w:rsid w:val="002737A1"/>
    <w:rsid w:val="00273CDD"/>
    <w:rsid w:val="002761FC"/>
    <w:rsid w:val="00276265"/>
    <w:rsid w:val="00277B8B"/>
    <w:rsid w:val="00281301"/>
    <w:rsid w:val="0028311C"/>
    <w:rsid w:val="00284338"/>
    <w:rsid w:val="002848EA"/>
    <w:rsid w:val="00291C0C"/>
    <w:rsid w:val="00294044"/>
    <w:rsid w:val="00296AE0"/>
    <w:rsid w:val="002A10B7"/>
    <w:rsid w:val="002A25ED"/>
    <w:rsid w:val="002A2D0B"/>
    <w:rsid w:val="002A2F2C"/>
    <w:rsid w:val="002A4A2C"/>
    <w:rsid w:val="002A504D"/>
    <w:rsid w:val="002A586F"/>
    <w:rsid w:val="002A5F5F"/>
    <w:rsid w:val="002B0CA3"/>
    <w:rsid w:val="002B1B59"/>
    <w:rsid w:val="002B7178"/>
    <w:rsid w:val="002B7F67"/>
    <w:rsid w:val="002C03D1"/>
    <w:rsid w:val="002C09E0"/>
    <w:rsid w:val="002C2226"/>
    <w:rsid w:val="002C290C"/>
    <w:rsid w:val="002C290F"/>
    <w:rsid w:val="002D11C5"/>
    <w:rsid w:val="002D1352"/>
    <w:rsid w:val="002D2717"/>
    <w:rsid w:val="002D5ABC"/>
    <w:rsid w:val="002D6E74"/>
    <w:rsid w:val="002D7858"/>
    <w:rsid w:val="002E1517"/>
    <w:rsid w:val="002E1BEF"/>
    <w:rsid w:val="002E2B59"/>
    <w:rsid w:val="002E3AFF"/>
    <w:rsid w:val="002E4708"/>
    <w:rsid w:val="002E4D75"/>
    <w:rsid w:val="002E6767"/>
    <w:rsid w:val="002E7DB6"/>
    <w:rsid w:val="002F3BD3"/>
    <w:rsid w:val="002F5F2B"/>
    <w:rsid w:val="00300A31"/>
    <w:rsid w:val="00304985"/>
    <w:rsid w:val="003070F0"/>
    <w:rsid w:val="003075FA"/>
    <w:rsid w:val="00310092"/>
    <w:rsid w:val="00310F10"/>
    <w:rsid w:val="00311178"/>
    <w:rsid w:val="00312288"/>
    <w:rsid w:val="00312DE4"/>
    <w:rsid w:val="00313447"/>
    <w:rsid w:val="0031372C"/>
    <w:rsid w:val="0031642E"/>
    <w:rsid w:val="00320123"/>
    <w:rsid w:val="003211CC"/>
    <w:rsid w:val="00324B4B"/>
    <w:rsid w:val="00325905"/>
    <w:rsid w:val="00330E28"/>
    <w:rsid w:val="00331236"/>
    <w:rsid w:val="0033461B"/>
    <w:rsid w:val="00334E69"/>
    <w:rsid w:val="003352DA"/>
    <w:rsid w:val="00335DDA"/>
    <w:rsid w:val="0034013C"/>
    <w:rsid w:val="00340721"/>
    <w:rsid w:val="00340B41"/>
    <w:rsid w:val="003424C9"/>
    <w:rsid w:val="00342CD3"/>
    <w:rsid w:val="0034376E"/>
    <w:rsid w:val="00344FA5"/>
    <w:rsid w:val="003471E2"/>
    <w:rsid w:val="0035002F"/>
    <w:rsid w:val="00351865"/>
    <w:rsid w:val="00351922"/>
    <w:rsid w:val="003520D9"/>
    <w:rsid w:val="00355896"/>
    <w:rsid w:val="00357C1D"/>
    <w:rsid w:val="00357EF4"/>
    <w:rsid w:val="00360F30"/>
    <w:rsid w:val="00360FC3"/>
    <w:rsid w:val="003618E9"/>
    <w:rsid w:val="00361A93"/>
    <w:rsid w:val="00362246"/>
    <w:rsid w:val="00363EF3"/>
    <w:rsid w:val="00365CB7"/>
    <w:rsid w:val="00365EEF"/>
    <w:rsid w:val="00366601"/>
    <w:rsid w:val="00370EEF"/>
    <w:rsid w:val="003746B3"/>
    <w:rsid w:val="00375935"/>
    <w:rsid w:val="00375A52"/>
    <w:rsid w:val="0037605B"/>
    <w:rsid w:val="003768BC"/>
    <w:rsid w:val="00380BD9"/>
    <w:rsid w:val="00382750"/>
    <w:rsid w:val="00383026"/>
    <w:rsid w:val="00386084"/>
    <w:rsid w:val="003874EC"/>
    <w:rsid w:val="00390C20"/>
    <w:rsid w:val="00390D5B"/>
    <w:rsid w:val="00391AD9"/>
    <w:rsid w:val="00391EE0"/>
    <w:rsid w:val="00394AA0"/>
    <w:rsid w:val="0039701D"/>
    <w:rsid w:val="003971D4"/>
    <w:rsid w:val="00397C12"/>
    <w:rsid w:val="003A0E8E"/>
    <w:rsid w:val="003A4658"/>
    <w:rsid w:val="003A523F"/>
    <w:rsid w:val="003A6F2A"/>
    <w:rsid w:val="003B2E35"/>
    <w:rsid w:val="003B3760"/>
    <w:rsid w:val="003B6695"/>
    <w:rsid w:val="003B6751"/>
    <w:rsid w:val="003C016A"/>
    <w:rsid w:val="003C1710"/>
    <w:rsid w:val="003C1B55"/>
    <w:rsid w:val="003C647D"/>
    <w:rsid w:val="003C747D"/>
    <w:rsid w:val="003D003C"/>
    <w:rsid w:val="003D310E"/>
    <w:rsid w:val="003D4A28"/>
    <w:rsid w:val="003D6E0C"/>
    <w:rsid w:val="003D759B"/>
    <w:rsid w:val="003E021E"/>
    <w:rsid w:val="003E0787"/>
    <w:rsid w:val="003E16B2"/>
    <w:rsid w:val="003E171B"/>
    <w:rsid w:val="003E23FC"/>
    <w:rsid w:val="003F14D2"/>
    <w:rsid w:val="003F3046"/>
    <w:rsid w:val="003F4F4E"/>
    <w:rsid w:val="003F5BFA"/>
    <w:rsid w:val="003F6B38"/>
    <w:rsid w:val="003F7103"/>
    <w:rsid w:val="003F74FD"/>
    <w:rsid w:val="003F7A04"/>
    <w:rsid w:val="00400585"/>
    <w:rsid w:val="00400D64"/>
    <w:rsid w:val="004010F3"/>
    <w:rsid w:val="00402C59"/>
    <w:rsid w:val="0040319A"/>
    <w:rsid w:val="00403418"/>
    <w:rsid w:val="0040351B"/>
    <w:rsid w:val="004058B3"/>
    <w:rsid w:val="00406402"/>
    <w:rsid w:val="00414A6A"/>
    <w:rsid w:val="0041559E"/>
    <w:rsid w:val="004160CE"/>
    <w:rsid w:val="00425F42"/>
    <w:rsid w:val="004260EA"/>
    <w:rsid w:val="00427F64"/>
    <w:rsid w:val="004326E9"/>
    <w:rsid w:val="00432CBF"/>
    <w:rsid w:val="0043414A"/>
    <w:rsid w:val="0044083C"/>
    <w:rsid w:val="00440EAC"/>
    <w:rsid w:val="00441296"/>
    <w:rsid w:val="00446BBC"/>
    <w:rsid w:val="00453C29"/>
    <w:rsid w:val="00454846"/>
    <w:rsid w:val="00456DED"/>
    <w:rsid w:val="00457B09"/>
    <w:rsid w:val="004602D6"/>
    <w:rsid w:val="004612DC"/>
    <w:rsid w:val="00462511"/>
    <w:rsid w:val="00465DF7"/>
    <w:rsid w:val="004660C5"/>
    <w:rsid w:val="004674AD"/>
    <w:rsid w:val="00472B07"/>
    <w:rsid w:val="00473280"/>
    <w:rsid w:val="00473E16"/>
    <w:rsid w:val="00474737"/>
    <w:rsid w:val="004758A8"/>
    <w:rsid w:val="00475AD9"/>
    <w:rsid w:val="004771AC"/>
    <w:rsid w:val="00480364"/>
    <w:rsid w:val="004823E1"/>
    <w:rsid w:val="0048445F"/>
    <w:rsid w:val="00485E8D"/>
    <w:rsid w:val="00486F5E"/>
    <w:rsid w:val="004870F0"/>
    <w:rsid w:val="00491F6A"/>
    <w:rsid w:val="00494660"/>
    <w:rsid w:val="004949F5"/>
    <w:rsid w:val="004957B5"/>
    <w:rsid w:val="00496C83"/>
    <w:rsid w:val="004A36EE"/>
    <w:rsid w:val="004A5378"/>
    <w:rsid w:val="004A74C0"/>
    <w:rsid w:val="004B1E06"/>
    <w:rsid w:val="004B29B9"/>
    <w:rsid w:val="004B4652"/>
    <w:rsid w:val="004B7EC8"/>
    <w:rsid w:val="004C04C9"/>
    <w:rsid w:val="004C0E5D"/>
    <w:rsid w:val="004C1B66"/>
    <w:rsid w:val="004C7F9C"/>
    <w:rsid w:val="004D3412"/>
    <w:rsid w:val="004D5A0A"/>
    <w:rsid w:val="004D69BD"/>
    <w:rsid w:val="004E03C5"/>
    <w:rsid w:val="004E0EBA"/>
    <w:rsid w:val="004E1C78"/>
    <w:rsid w:val="004E2118"/>
    <w:rsid w:val="004E31B6"/>
    <w:rsid w:val="004E4526"/>
    <w:rsid w:val="004E4BCB"/>
    <w:rsid w:val="004E55F4"/>
    <w:rsid w:val="004E6A9E"/>
    <w:rsid w:val="004F0822"/>
    <w:rsid w:val="004F5432"/>
    <w:rsid w:val="004F6552"/>
    <w:rsid w:val="00500B47"/>
    <w:rsid w:val="005022CC"/>
    <w:rsid w:val="0050347C"/>
    <w:rsid w:val="00505948"/>
    <w:rsid w:val="005066A3"/>
    <w:rsid w:val="00507A5D"/>
    <w:rsid w:val="00511837"/>
    <w:rsid w:val="005219F1"/>
    <w:rsid w:val="005220C5"/>
    <w:rsid w:val="005226D9"/>
    <w:rsid w:val="00533883"/>
    <w:rsid w:val="00533B22"/>
    <w:rsid w:val="005350B6"/>
    <w:rsid w:val="00535737"/>
    <w:rsid w:val="00536B17"/>
    <w:rsid w:val="005375DF"/>
    <w:rsid w:val="0054033F"/>
    <w:rsid w:val="0054097F"/>
    <w:rsid w:val="00541A19"/>
    <w:rsid w:val="00541FD4"/>
    <w:rsid w:val="00542BA9"/>
    <w:rsid w:val="0054406F"/>
    <w:rsid w:val="0054438A"/>
    <w:rsid w:val="00546911"/>
    <w:rsid w:val="0055001A"/>
    <w:rsid w:val="0055087F"/>
    <w:rsid w:val="00552179"/>
    <w:rsid w:val="00552E7E"/>
    <w:rsid w:val="005541DA"/>
    <w:rsid w:val="005554B7"/>
    <w:rsid w:val="00555B34"/>
    <w:rsid w:val="00560C3C"/>
    <w:rsid w:val="005623D5"/>
    <w:rsid w:val="00564313"/>
    <w:rsid w:val="00565B8A"/>
    <w:rsid w:val="0056727C"/>
    <w:rsid w:val="005706F7"/>
    <w:rsid w:val="00570A13"/>
    <w:rsid w:val="005716D9"/>
    <w:rsid w:val="00571F05"/>
    <w:rsid w:val="00571F93"/>
    <w:rsid w:val="00573054"/>
    <w:rsid w:val="00573D20"/>
    <w:rsid w:val="00575AB9"/>
    <w:rsid w:val="005765B0"/>
    <w:rsid w:val="00576932"/>
    <w:rsid w:val="00576C65"/>
    <w:rsid w:val="00577B7B"/>
    <w:rsid w:val="00580AD8"/>
    <w:rsid w:val="00580FC7"/>
    <w:rsid w:val="005814A4"/>
    <w:rsid w:val="00581C58"/>
    <w:rsid w:val="00582BC4"/>
    <w:rsid w:val="005851B9"/>
    <w:rsid w:val="0058528D"/>
    <w:rsid w:val="00586AA3"/>
    <w:rsid w:val="0058708C"/>
    <w:rsid w:val="005917A3"/>
    <w:rsid w:val="00593C09"/>
    <w:rsid w:val="0059413F"/>
    <w:rsid w:val="005942D4"/>
    <w:rsid w:val="005A2249"/>
    <w:rsid w:val="005A2348"/>
    <w:rsid w:val="005A2584"/>
    <w:rsid w:val="005A398C"/>
    <w:rsid w:val="005A6630"/>
    <w:rsid w:val="005A6EC9"/>
    <w:rsid w:val="005A7FD8"/>
    <w:rsid w:val="005B092D"/>
    <w:rsid w:val="005B12AA"/>
    <w:rsid w:val="005B253A"/>
    <w:rsid w:val="005B363A"/>
    <w:rsid w:val="005B43A6"/>
    <w:rsid w:val="005B4730"/>
    <w:rsid w:val="005B4B16"/>
    <w:rsid w:val="005B4B35"/>
    <w:rsid w:val="005B5421"/>
    <w:rsid w:val="005B6686"/>
    <w:rsid w:val="005C25EB"/>
    <w:rsid w:val="005C2C9C"/>
    <w:rsid w:val="005C414D"/>
    <w:rsid w:val="005C4F35"/>
    <w:rsid w:val="005C72A2"/>
    <w:rsid w:val="005D0F8D"/>
    <w:rsid w:val="005D1936"/>
    <w:rsid w:val="005D215E"/>
    <w:rsid w:val="005D5EE3"/>
    <w:rsid w:val="005D612F"/>
    <w:rsid w:val="005E091F"/>
    <w:rsid w:val="005E19EE"/>
    <w:rsid w:val="005E1E75"/>
    <w:rsid w:val="005E751F"/>
    <w:rsid w:val="005E7FC0"/>
    <w:rsid w:val="005F2218"/>
    <w:rsid w:val="005F453C"/>
    <w:rsid w:val="005F53E1"/>
    <w:rsid w:val="00600D27"/>
    <w:rsid w:val="0060164C"/>
    <w:rsid w:val="00603375"/>
    <w:rsid w:val="00603ACB"/>
    <w:rsid w:val="006040D0"/>
    <w:rsid w:val="00606827"/>
    <w:rsid w:val="00606CF5"/>
    <w:rsid w:val="00607FE3"/>
    <w:rsid w:val="006138F7"/>
    <w:rsid w:val="00613DC3"/>
    <w:rsid w:val="00614FE9"/>
    <w:rsid w:val="00617FC6"/>
    <w:rsid w:val="00620EE6"/>
    <w:rsid w:val="00621D5F"/>
    <w:rsid w:val="006244AD"/>
    <w:rsid w:val="00625282"/>
    <w:rsid w:val="00625F77"/>
    <w:rsid w:val="00626461"/>
    <w:rsid w:val="0062729C"/>
    <w:rsid w:val="00627BDE"/>
    <w:rsid w:val="00627EB3"/>
    <w:rsid w:val="00630B54"/>
    <w:rsid w:val="00631000"/>
    <w:rsid w:val="00632D9A"/>
    <w:rsid w:val="0063488B"/>
    <w:rsid w:val="00634BA5"/>
    <w:rsid w:val="00634CBE"/>
    <w:rsid w:val="00636245"/>
    <w:rsid w:val="006369B3"/>
    <w:rsid w:val="0063743D"/>
    <w:rsid w:val="00637BAB"/>
    <w:rsid w:val="00641B1D"/>
    <w:rsid w:val="006440FE"/>
    <w:rsid w:val="00647A77"/>
    <w:rsid w:val="00652870"/>
    <w:rsid w:val="006544D3"/>
    <w:rsid w:val="00654BB9"/>
    <w:rsid w:val="0065535B"/>
    <w:rsid w:val="00660C03"/>
    <w:rsid w:val="006633E2"/>
    <w:rsid w:val="00664D61"/>
    <w:rsid w:val="00665BDC"/>
    <w:rsid w:val="00671A48"/>
    <w:rsid w:val="00671DD5"/>
    <w:rsid w:val="00672761"/>
    <w:rsid w:val="00673E6E"/>
    <w:rsid w:val="00674849"/>
    <w:rsid w:val="00675850"/>
    <w:rsid w:val="00677FE0"/>
    <w:rsid w:val="00681378"/>
    <w:rsid w:val="00682E28"/>
    <w:rsid w:val="00686431"/>
    <w:rsid w:val="00691161"/>
    <w:rsid w:val="00691D9A"/>
    <w:rsid w:val="00692641"/>
    <w:rsid w:val="00693924"/>
    <w:rsid w:val="00694601"/>
    <w:rsid w:val="006A0F53"/>
    <w:rsid w:val="006A10C7"/>
    <w:rsid w:val="006A13C4"/>
    <w:rsid w:val="006A1FC7"/>
    <w:rsid w:val="006A31A0"/>
    <w:rsid w:val="006A3C56"/>
    <w:rsid w:val="006A674E"/>
    <w:rsid w:val="006A6D38"/>
    <w:rsid w:val="006A741C"/>
    <w:rsid w:val="006A75B8"/>
    <w:rsid w:val="006B462D"/>
    <w:rsid w:val="006B5309"/>
    <w:rsid w:val="006B5471"/>
    <w:rsid w:val="006B5D89"/>
    <w:rsid w:val="006B71AA"/>
    <w:rsid w:val="006C1A9D"/>
    <w:rsid w:val="006C3032"/>
    <w:rsid w:val="006C3102"/>
    <w:rsid w:val="006C3944"/>
    <w:rsid w:val="006C3DCD"/>
    <w:rsid w:val="006C4D20"/>
    <w:rsid w:val="006D0ACB"/>
    <w:rsid w:val="006D3AAE"/>
    <w:rsid w:val="006D7239"/>
    <w:rsid w:val="006E04C0"/>
    <w:rsid w:val="006E1341"/>
    <w:rsid w:val="006E1AD8"/>
    <w:rsid w:val="006E47D4"/>
    <w:rsid w:val="006E7C0B"/>
    <w:rsid w:val="006F087F"/>
    <w:rsid w:val="006F1F69"/>
    <w:rsid w:val="006F2696"/>
    <w:rsid w:val="006F3D8B"/>
    <w:rsid w:val="006F4C01"/>
    <w:rsid w:val="006F5389"/>
    <w:rsid w:val="006F6F34"/>
    <w:rsid w:val="00700739"/>
    <w:rsid w:val="0070103C"/>
    <w:rsid w:val="00702658"/>
    <w:rsid w:val="00702FE8"/>
    <w:rsid w:val="007039F0"/>
    <w:rsid w:val="00703DBE"/>
    <w:rsid w:val="0070684C"/>
    <w:rsid w:val="00713713"/>
    <w:rsid w:val="00713C8C"/>
    <w:rsid w:val="00717D56"/>
    <w:rsid w:val="00721309"/>
    <w:rsid w:val="007214FB"/>
    <w:rsid w:val="007226F8"/>
    <w:rsid w:val="00722F24"/>
    <w:rsid w:val="007235E1"/>
    <w:rsid w:val="00723DDB"/>
    <w:rsid w:val="00723EC7"/>
    <w:rsid w:val="00732AD3"/>
    <w:rsid w:val="0073432A"/>
    <w:rsid w:val="0073513F"/>
    <w:rsid w:val="00735A32"/>
    <w:rsid w:val="007375DD"/>
    <w:rsid w:val="0073794F"/>
    <w:rsid w:val="00743A0E"/>
    <w:rsid w:val="00744786"/>
    <w:rsid w:val="00744837"/>
    <w:rsid w:val="00744B62"/>
    <w:rsid w:val="00744D89"/>
    <w:rsid w:val="007451CB"/>
    <w:rsid w:val="007461D9"/>
    <w:rsid w:val="00747F33"/>
    <w:rsid w:val="00750378"/>
    <w:rsid w:val="00750D6A"/>
    <w:rsid w:val="0075133C"/>
    <w:rsid w:val="00754D16"/>
    <w:rsid w:val="00755F23"/>
    <w:rsid w:val="007608D4"/>
    <w:rsid w:val="0076416C"/>
    <w:rsid w:val="00764456"/>
    <w:rsid w:val="00764852"/>
    <w:rsid w:val="00764A94"/>
    <w:rsid w:val="00765127"/>
    <w:rsid w:val="00767916"/>
    <w:rsid w:val="007713B0"/>
    <w:rsid w:val="007714A9"/>
    <w:rsid w:val="007728C4"/>
    <w:rsid w:val="007741FF"/>
    <w:rsid w:val="007763FF"/>
    <w:rsid w:val="00776BCB"/>
    <w:rsid w:val="007776BE"/>
    <w:rsid w:val="0078144C"/>
    <w:rsid w:val="0078170D"/>
    <w:rsid w:val="007836C8"/>
    <w:rsid w:val="007859D0"/>
    <w:rsid w:val="00786548"/>
    <w:rsid w:val="00790D51"/>
    <w:rsid w:val="00792636"/>
    <w:rsid w:val="00792EA0"/>
    <w:rsid w:val="0079380C"/>
    <w:rsid w:val="00797AB8"/>
    <w:rsid w:val="007A008D"/>
    <w:rsid w:val="007A11F7"/>
    <w:rsid w:val="007A1624"/>
    <w:rsid w:val="007A1FD2"/>
    <w:rsid w:val="007A4605"/>
    <w:rsid w:val="007A5698"/>
    <w:rsid w:val="007A64D8"/>
    <w:rsid w:val="007A65C7"/>
    <w:rsid w:val="007A757D"/>
    <w:rsid w:val="007A7796"/>
    <w:rsid w:val="007B1967"/>
    <w:rsid w:val="007B235C"/>
    <w:rsid w:val="007B7855"/>
    <w:rsid w:val="007C19DD"/>
    <w:rsid w:val="007C38AB"/>
    <w:rsid w:val="007C3908"/>
    <w:rsid w:val="007C4A5D"/>
    <w:rsid w:val="007C4F80"/>
    <w:rsid w:val="007C5644"/>
    <w:rsid w:val="007C61D4"/>
    <w:rsid w:val="007C7ABA"/>
    <w:rsid w:val="007D07EC"/>
    <w:rsid w:val="007D0E91"/>
    <w:rsid w:val="007D24F2"/>
    <w:rsid w:val="007D36D9"/>
    <w:rsid w:val="007D6606"/>
    <w:rsid w:val="007D72CC"/>
    <w:rsid w:val="007D76FC"/>
    <w:rsid w:val="007E05F1"/>
    <w:rsid w:val="007E087E"/>
    <w:rsid w:val="007E41C4"/>
    <w:rsid w:val="007E42AC"/>
    <w:rsid w:val="007E5CB7"/>
    <w:rsid w:val="007E643B"/>
    <w:rsid w:val="007E6F33"/>
    <w:rsid w:val="007E76D6"/>
    <w:rsid w:val="007F125B"/>
    <w:rsid w:val="007F2122"/>
    <w:rsid w:val="007F243B"/>
    <w:rsid w:val="007F42C5"/>
    <w:rsid w:val="007F545F"/>
    <w:rsid w:val="007F62D5"/>
    <w:rsid w:val="007F6C5E"/>
    <w:rsid w:val="007F7179"/>
    <w:rsid w:val="007F7CA5"/>
    <w:rsid w:val="007F7E99"/>
    <w:rsid w:val="00804253"/>
    <w:rsid w:val="00807AD9"/>
    <w:rsid w:val="0081157B"/>
    <w:rsid w:val="00811A7A"/>
    <w:rsid w:val="0081652C"/>
    <w:rsid w:val="00823052"/>
    <w:rsid w:val="00824E7A"/>
    <w:rsid w:val="00827D32"/>
    <w:rsid w:val="00830B78"/>
    <w:rsid w:val="00834C33"/>
    <w:rsid w:val="00837934"/>
    <w:rsid w:val="0084204F"/>
    <w:rsid w:val="0084495A"/>
    <w:rsid w:val="0084564B"/>
    <w:rsid w:val="0084612C"/>
    <w:rsid w:val="00846DAF"/>
    <w:rsid w:val="0085114E"/>
    <w:rsid w:val="00854D24"/>
    <w:rsid w:val="00855A38"/>
    <w:rsid w:val="00855A8C"/>
    <w:rsid w:val="00856E14"/>
    <w:rsid w:val="00857450"/>
    <w:rsid w:val="00860ED3"/>
    <w:rsid w:val="00861934"/>
    <w:rsid w:val="00865506"/>
    <w:rsid w:val="00866FE1"/>
    <w:rsid w:val="0086720C"/>
    <w:rsid w:val="00874EF5"/>
    <w:rsid w:val="00874F44"/>
    <w:rsid w:val="00875634"/>
    <w:rsid w:val="00877D04"/>
    <w:rsid w:val="00881019"/>
    <w:rsid w:val="00882D8B"/>
    <w:rsid w:val="008847C8"/>
    <w:rsid w:val="00885B31"/>
    <w:rsid w:val="00887473"/>
    <w:rsid w:val="00890F9A"/>
    <w:rsid w:val="0089104E"/>
    <w:rsid w:val="00892329"/>
    <w:rsid w:val="00892740"/>
    <w:rsid w:val="008930E9"/>
    <w:rsid w:val="00894B62"/>
    <w:rsid w:val="008953F0"/>
    <w:rsid w:val="00896296"/>
    <w:rsid w:val="008A0A8F"/>
    <w:rsid w:val="008A0C00"/>
    <w:rsid w:val="008A1967"/>
    <w:rsid w:val="008A3CBC"/>
    <w:rsid w:val="008A3F58"/>
    <w:rsid w:val="008A463C"/>
    <w:rsid w:val="008A50E8"/>
    <w:rsid w:val="008B07BE"/>
    <w:rsid w:val="008B190C"/>
    <w:rsid w:val="008B2879"/>
    <w:rsid w:val="008B29F4"/>
    <w:rsid w:val="008B3EE0"/>
    <w:rsid w:val="008B6154"/>
    <w:rsid w:val="008B6211"/>
    <w:rsid w:val="008C0B64"/>
    <w:rsid w:val="008C1EC0"/>
    <w:rsid w:val="008C2B64"/>
    <w:rsid w:val="008C3F6C"/>
    <w:rsid w:val="008C7253"/>
    <w:rsid w:val="008D086D"/>
    <w:rsid w:val="008D0FF7"/>
    <w:rsid w:val="008D5085"/>
    <w:rsid w:val="008D6A4D"/>
    <w:rsid w:val="008E00BB"/>
    <w:rsid w:val="008E0342"/>
    <w:rsid w:val="008E0BB3"/>
    <w:rsid w:val="008E1CAE"/>
    <w:rsid w:val="008E29F8"/>
    <w:rsid w:val="008E4254"/>
    <w:rsid w:val="008E583F"/>
    <w:rsid w:val="008E7438"/>
    <w:rsid w:val="008F0FD9"/>
    <w:rsid w:val="008F1A2C"/>
    <w:rsid w:val="008F1F4A"/>
    <w:rsid w:val="008F50A5"/>
    <w:rsid w:val="008F545E"/>
    <w:rsid w:val="008F7BAF"/>
    <w:rsid w:val="0090264E"/>
    <w:rsid w:val="00903D0D"/>
    <w:rsid w:val="009048DC"/>
    <w:rsid w:val="00904902"/>
    <w:rsid w:val="009055DC"/>
    <w:rsid w:val="00907826"/>
    <w:rsid w:val="009079AD"/>
    <w:rsid w:val="00907D8A"/>
    <w:rsid w:val="00913B70"/>
    <w:rsid w:val="00915DFA"/>
    <w:rsid w:val="00915E16"/>
    <w:rsid w:val="00916C12"/>
    <w:rsid w:val="009177BC"/>
    <w:rsid w:val="00921C5C"/>
    <w:rsid w:val="00925860"/>
    <w:rsid w:val="00927DFF"/>
    <w:rsid w:val="0093009E"/>
    <w:rsid w:val="00934643"/>
    <w:rsid w:val="0093477B"/>
    <w:rsid w:val="009350EA"/>
    <w:rsid w:val="00935F2D"/>
    <w:rsid w:val="00936175"/>
    <w:rsid w:val="00936948"/>
    <w:rsid w:val="0094424E"/>
    <w:rsid w:val="00945721"/>
    <w:rsid w:val="00954AD1"/>
    <w:rsid w:val="009558B1"/>
    <w:rsid w:val="00957901"/>
    <w:rsid w:val="00957A26"/>
    <w:rsid w:val="0096057D"/>
    <w:rsid w:val="00962DDB"/>
    <w:rsid w:val="009646C9"/>
    <w:rsid w:val="009664B9"/>
    <w:rsid w:val="00966E87"/>
    <w:rsid w:val="00967C55"/>
    <w:rsid w:val="00970301"/>
    <w:rsid w:val="00971832"/>
    <w:rsid w:val="00971C55"/>
    <w:rsid w:val="00974ED2"/>
    <w:rsid w:val="00975CC3"/>
    <w:rsid w:val="00975D3B"/>
    <w:rsid w:val="00976FB9"/>
    <w:rsid w:val="00977007"/>
    <w:rsid w:val="00980EFB"/>
    <w:rsid w:val="00980F82"/>
    <w:rsid w:val="00982316"/>
    <w:rsid w:val="00982EED"/>
    <w:rsid w:val="009835B0"/>
    <w:rsid w:val="00984271"/>
    <w:rsid w:val="00984434"/>
    <w:rsid w:val="00985232"/>
    <w:rsid w:val="009853EF"/>
    <w:rsid w:val="00985B4B"/>
    <w:rsid w:val="00986694"/>
    <w:rsid w:val="00986EE9"/>
    <w:rsid w:val="00987705"/>
    <w:rsid w:val="009905EB"/>
    <w:rsid w:val="00991638"/>
    <w:rsid w:val="009921DD"/>
    <w:rsid w:val="009928D8"/>
    <w:rsid w:val="0099706D"/>
    <w:rsid w:val="00997ADB"/>
    <w:rsid w:val="009A0EDA"/>
    <w:rsid w:val="009A15B6"/>
    <w:rsid w:val="009A36D1"/>
    <w:rsid w:val="009A50A4"/>
    <w:rsid w:val="009A5C35"/>
    <w:rsid w:val="009A5FF6"/>
    <w:rsid w:val="009A7B01"/>
    <w:rsid w:val="009B25B8"/>
    <w:rsid w:val="009B6B09"/>
    <w:rsid w:val="009B750E"/>
    <w:rsid w:val="009C0891"/>
    <w:rsid w:val="009C0BA8"/>
    <w:rsid w:val="009C2036"/>
    <w:rsid w:val="009C410B"/>
    <w:rsid w:val="009C4FEC"/>
    <w:rsid w:val="009C5C64"/>
    <w:rsid w:val="009C5DE1"/>
    <w:rsid w:val="009C65F6"/>
    <w:rsid w:val="009C6EBA"/>
    <w:rsid w:val="009C7893"/>
    <w:rsid w:val="009C7998"/>
    <w:rsid w:val="009D0BAC"/>
    <w:rsid w:val="009D123D"/>
    <w:rsid w:val="009D1BB5"/>
    <w:rsid w:val="009D2EFE"/>
    <w:rsid w:val="009D315A"/>
    <w:rsid w:val="009D4C43"/>
    <w:rsid w:val="009D4FBD"/>
    <w:rsid w:val="009D5DBD"/>
    <w:rsid w:val="009D74EC"/>
    <w:rsid w:val="009D7FBC"/>
    <w:rsid w:val="009E01E3"/>
    <w:rsid w:val="009E20A0"/>
    <w:rsid w:val="009E2E5D"/>
    <w:rsid w:val="009E3D03"/>
    <w:rsid w:val="009F1818"/>
    <w:rsid w:val="009F2186"/>
    <w:rsid w:val="009F2D9B"/>
    <w:rsid w:val="009F4053"/>
    <w:rsid w:val="009F50D6"/>
    <w:rsid w:val="009F59AF"/>
    <w:rsid w:val="009F6285"/>
    <w:rsid w:val="009F64A0"/>
    <w:rsid w:val="009F7F9C"/>
    <w:rsid w:val="00A00850"/>
    <w:rsid w:val="00A00DFD"/>
    <w:rsid w:val="00A0283C"/>
    <w:rsid w:val="00A02B16"/>
    <w:rsid w:val="00A054C0"/>
    <w:rsid w:val="00A06BB4"/>
    <w:rsid w:val="00A06C0E"/>
    <w:rsid w:val="00A0735B"/>
    <w:rsid w:val="00A07775"/>
    <w:rsid w:val="00A07F89"/>
    <w:rsid w:val="00A12A7A"/>
    <w:rsid w:val="00A178C0"/>
    <w:rsid w:val="00A238AB"/>
    <w:rsid w:val="00A25132"/>
    <w:rsid w:val="00A26638"/>
    <w:rsid w:val="00A267BD"/>
    <w:rsid w:val="00A301EA"/>
    <w:rsid w:val="00A31BB0"/>
    <w:rsid w:val="00A37B5A"/>
    <w:rsid w:val="00A414B0"/>
    <w:rsid w:val="00A41BE0"/>
    <w:rsid w:val="00A41E81"/>
    <w:rsid w:val="00A42437"/>
    <w:rsid w:val="00A46017"/>
    <w:rsid w:val="00A47CDE"/>
    <w:rsid w:val="00A513D9"/>
    <w:rsid w:val="00A53287"/>
    <w:rsid w:val="00A53C3A"/>
    <w:rsid w:val="00A53ED7"/>
    <w:rsid w:val="00A5510C"/>
    <w:rsid w:val="00A61B4B"/>
    <w:rsid w:val="00A61D65"/>
    <w:rsid w:val="00A62E67"/>
    <w:rsid w:val="00A62FA2"/>
    <w:rsid w:val="00A674EE"/>
    <w:rsid w:val="00A70628"/>
    <w:rsid w:val="00A708DC"/>
    <w:rsid w:val="00A70FC4"/>
    <w:rsid w:val="00A76B0C"/>
    <w:rsid w:val="00A7739D"/>
    <w:rsid w:val="00A77611"/>
    <w:rsid w:val="00A812A5"/>
    <w:rsid w:val="00A81842"/>
    <w:rsid w:val="00A829B8"/>
    <w:rsid w:val="00A83093"/>
    <w:rsid w:val="00A87851"/>
    <w:rsid w:val="00A87B06"/>
    <w:rsid w:val="00A925CC"/>
    <w:rsid w:val="00A9334C"/>
    <w:rsid w:val="00A9343A"/>
    <w:rsid w:val="00A93FAA"/>
    <w:rsid w:val="00A9416F"/>
    <w:rsid w:val="00A95E86"/>
    <w:rsid w:val="00A97AB7"/>
    <w:rsid w:val="00AA1161"/>
    <w:rsid w:val="00AA2F3F"/>
    <w:rsid w:val="00AA3618"/>
    <w:rsid w:val="00AA3851"/>
    <w:rsid w:val="00AA42B1"/>
    <w:rsid w:val="00AA4C16"/>
    <w:rsid w:val="00AA4ED9"/>
    <w:rsid w:val="00AA7DF2"/>
    <w:rsid w:val="00AB2C6E"/>
    <w:rsid w:val="00AB3762"/>
    <w:rsid w:val="00AB5999"/>
    <w:rsid w:val="00AB5D09"/>
    <w:rsid w:val="00AB677E"/>
    <w:rsid w:val="00AB6BAD"/>
    <w:rsid w:val="00AB7DCC"/>
    <w:rsid w:val="00AC0732"/>
    <w:rsid w:val="00AC137F"/>
    <w:rsid w:val="00AC1382"/>
    <w:rsid w:val="00AC3A0F"/>
    <w:rsid w:val="00AC5689"/>
    <w:rsid w:val="00AC650A"/>
    <w:rsid w:val="00AC6830"/>
    <w:rsid w:val="00AD04C9"/>
    <w:rsid w:val="00AD2B0D"/>
    <w:rsid w:val="00AD634C"/>
    <w:rsid w:val="00AD7311"/>
    <w:rsid w:val="00AE0F02"/>
    <w:rsid w:val="00AE21FB"/>
    <w:rsid w:val="00AE3BE8"/>
    <w:rsid w:val="00AE3C05"/>
    <w:rsid w:val="00AE5FA1"/>
    <w:rsid w:val="00AE63A2"/>
    <w:rsid w:val="00AF0008"/>
    <w:rsid w:val="00AF119D"/>
    <w:rsid w:val="00AF2157"/>
    <w:rsid w:val="00AF2CA2"/>
    <w:rsid w:val="00AF3086"/>
    <w:rsid w:val="00AF3A62"/>
    <w:rsid w:val="00AF3F8F"/>
    <w:rsid w:val="00AF4DC7"/>
    <w:rsid w:val="00AF6F40"/>
    <w:rsid w:val="00B00D40"/>
    <w:rsid w:val="00B019A5"/>
    <w:rsid w:val="00B0258F"/>
    <w:rsid w:val="00B0280D"/>
    <w:rsid w:val="00B03955"/>
    <w:rsid w:val="00B06953"/>
    <w:rsid w:val="00B0788C"/>
    <w:rsid w:val="00B113BC"/>
    <w:rsid w:val="00B1162C"/>
    <w:rsid w:val="00B12272"/>
    <w:rsid w:val="00B12AC8"/>
    <w:rsid w:val="00B12D29"/>
    <w:rsid w:val="00B15CDB"/>
    <w:rsid w:val="00B17C57"/>
    <w:rsid w:val="00B21BF3"/>
    <w:rsid w:val="00B2279E"/>
    <w:rsid w:val="00B229CF"/>
    <w:rsid w:val="00B24F47"/>
    <w:rsid w:val="00B25349"/>
    <w:rsid w:val="00B27053"/>
    <w:rsid w:val="00B30371"/>
    <w:rsid w:val="00B32AF9"/>
    <w:rsid w:val="00B33B01"/>
    <w:rsid w:val="00B34515"/>
    <w:rsid w:val="00B349D6"/>
    <w:rsid w:val="00B35044"/>
    <w:rsid w:val="00B36435"/>
    <w:rsid w:val="00B36F77"/>
    <w:rsid w:val="00B40973"/>
    <w:rsid w:val="00B468AC"/>
    <w:rsid w:val="00B51DA2"/>
    <w:rsid w:val="00B52F2B"/>
    <w:rsid w:val="00B54816"/>
    <w:rsid w:val="00B55C8E"/>
    <w:rsid w:val="00B568C0"/>
    <w:rsid w:val="00B56FDE"/>
    <w:rsid w:val="00B60B64"/>
    <w:rsid w:val="00B63187"/>
    <w:rsid w:val="00B63CA4"/>
    <w:rsid w:val="00B64355"/>
    <w:rsid w:val="00B7429D"/>
    <w:rsid w:val="00B75AAF"/>
    <w:rsid w:val="00B7706D"/>
    <w:rsid w:val="00B800AB"/>
    <w:rsid w:val="00B80CD3"/>
    <w:rsid w:val="00B84629"/>
    <w:rsid w:val="00B87F7B"/>
    <w:rsid w:val="00B928D6"/>
    <w:rsid w:val="00B92FC1"/>
    <w:rsid w:val="00B93FBC"/>
    <w:rsid w:val="00B96330"/>
    <w:rsid w:val="00B97F0D"/>
    <w:rsid w:val="00BA0551"/>
    <w:rsid w:val="00BA0A75"/>
    <w:rsid w:val="00BA0FDF"/>
    <w:rsid w:val="00BA1268"/>
    <w:rsid w:val="00BA296B"/>
    <w:rsid w:val="00BA300F"/>
    <w:rsid w:val="00BA3369"/>
    <w:rsid w:val="00BA392B"/>
    <w:rsid w:val="00BA407B"/>
    <w:rsid w:val="00BA4D4E"/>
    <w:rsid w:val="00BA7ED4"/>
    <w:rsid w:val="00BB0337"/>
    <w:rsid w:val="00BB1DA0"/>
    <w:rsid w:val="00BB226B"/>
    <w:rsid w:val="00BB27B2"/>
    <w:rsid w:val="00BB38B3"/>
    <w:rsid w:val="00BB3D7C"/>
    <w:rsid w:val="00BB7255"/>
    <w:rsid w:val="00BC02C2"/>
    <w:rsid w:val="00BC1B51"/>
    <w:rsid w:val="00BC31CF"/>
    <w:rsid w:val="00BC4C32"/>
    <w:rsid w:val="00BC5840"/>
    <w:rsid w:val="00BC59A2"/>
    <w:rsid w:val="00BC5AE4"/>
    <w:rsid w:val="00BC5DCF"/>
    <w:rsid w:val="00BC63E2"/>
    <w:rsid w:val="00BC6E23"/>
    <w:rsid w:val="00BC7166"/>
    <w:rsid w:val="00BC7F7C"/>
    <w:rsid w:val="00BD113F"/>
    <w:rsid w:val="00BD12F5"/>
    <w:rsid w:val="00BD2C6E"/>
    <w:rsid w:val="00BD4430"/>
    <w:rsid w:val="00BD74BB"/>
    <w:rsid w:val="00BE039B"/>
    <w:rsid w:val="00BE14D5"/>
    <w:rsid w:val="00BE1BEC"/>
    <w:rsid w:val="00BE4B24"/>
    <w:rsid w:val="00BE5FF5"/>
    <w:rsid w:val="00BE6425"/>
    <w:rsid w:val="00BE6B3D"/>
    <w:rsid w:val="00BE7029"/>
    <w:rsid w:val="00BE78FC"/>
    <w:rsid w:val="00BE7BFE"/>
    <w:rsid w:val="00BE7FDE"/>
    <w:rsid w:val="00BF01C5"/>
    <w:rsid w:val="00BF4827"/>
    <w:rsid w:val="00BF7B9D"/>
    <w:rsid w:val="00BF7E36"/>
    <w:rsid w:val="00C0253A"/>
    <w:rsid w:val="00C027BA"/>
    <w:rsid w:val="00C02B40"/>
    <w:rsid w:val="00C045DF"/>
    <w:rsid w:val="00C05189"/>
    <w:rsid w:val="00C05386"/>
    <w:rsid w:val="00C06AB6"/>
    <w:rsid w:val="00C113E6"/>
    <w:rsid w:val="00C12743"/>
    <w:rsid w:val="00C13B0D"/>
    <w:rsid w:val="00C149B8"/>
    <w:rsid w:val="00C15F6D"/>
    <w:rsid w:val="00C174E7"/>
    <w:rsid w:val="00C17EBC"/>
    <w:rsid w:val="00C2005B"/>
    <w:rsid w:val="00C20BF0"/>
    <w:rsid w:val="00C220C4"/>
    <w:rsid w:val="00C239E5"/>
    <w:rsid w:val="00C25197"/>
    <w:rsid w:val="00C27D99"/>
    <w:rsid w:val="00C27DFB"/>
    <w:rsid w:val="00C3642D"/>
    <w:rsid w:val="00C37401"/>
    <w:rsid w:val="00C375F1"/>
    <w:rsid w:val="00C40F60"/>
    <w:rsid w:val="00C460B9"/>
    <w:rsid w:val="00C463D3"/>
    <w:rsid w:val="00C465D6"/>
    <w:rsid w:val="00C4704F"/>
    <w:rsid w:val="00C524AE"/>
    <w:rsid w:val="00C63765"/>
    <w:rsid w:val="00C649FE"/>
    <w:rsid w:val="00C70316"/>
    <w:rsid w:val="00C72003"/>
    <w:rsid w:val="00C72115"/>
    <w:rsid w:val="00C761D2"/>
    <w:rsid w:val="00C8030B"/>
    <w:rsid w:val="00C81C99"/>
    <w:rsid w:val="00C81D5D"/>
    <w:rsid w:val="00C84E44"/>
    <w:rsid w:val="00C867DB"/>
    <w:rsid w:val="00C92721"/>
    <w:rsid w:val="00C92E75"/>
    <w:rsid w:val="00C93837"/>
    <w:rsid w:val="00C96285"/>
    <w:rsid w:val="00C967BA"/>
    <w:rsid w:val="00C96898"/>
    <w:rsid w:val="00C97941"/>
    <w:rsid w:val="00CA04E3"/>
    <w:rsid w:val="00CA0C89"/>
    <w:rsid w:val="00CA356D"/>
    <w:rsid w:val="00CA3862"/>
    <w:rsid w:val="00CA5A6B"/>
    <w:rsid w:val="00CA638C"/>
    <w:rsid w:val="00CB210D"/>
    <w:rsid w:val="00CB2C0D"/>
    <w:rsid w:val="00CB6399"/>
    <w:rsid w:val="00CB6BA4"/>
    <w:rsid w:val="00CB6D98"/>
    <w:rsid w:val="00CB71E4"/>
    <w:rsid w:val="00CB7382"/>
    <w:rsid w:val="00CC1728"/>
    <w:rsid w:val="00CC5F2F"/>
    <w:rsid w:val="00CC7F82"/>
    <w:rsid w:val="00CD00F6"/>
    <w:rsid w:val="00CD0AA6"/>
    <w:rsid w:val="00CD267C"/>
    <w:rsid w:val="00CD2BA3"/>
    <w:rsid w:val="00CD472E"/>
    <w:rsid w:val="00CD5413"/>
    <w:rsid w:val="00CD5987"/>
    <w:rsid w:val="00CD5A61"/>
    <w:rsid w:val="00CE05AE"/>
    <w:rsid w:val="00CE1C8A"/>
    <w:rsid w:val="00CE2A11"/>
    <w:rsid w:val="00CE5D51"/>
    <w:rsid w:val="00CE6148"/>
    <w:rsid w:val="00CF3001"/>
    <w:rsid w:val="00CF31E9"/>
    <w:rsid w:val="00CF3769"/>
    <w:rsid w:val="00CF3C95"/>
    <w:rsid w:val="00CF3E0B"/>
    <w:rsid w:val="00CF436E"/>
    <w:rsid w:val="00CF5F84"/>
    <w:rsid w:val="00CF78DA"/>
    <w:rsid w:val="00CF7AE1"/>
    <w:rsid w:val="00D0030E"/>
    <w:rsid w:val="00D01644"/>
    <w:rsid w:val="00D01C1E"/>
    <w:rsid w:val="00D01D2D"/>
    <w:rsid w:val="00D028FC"/>
    <w:rsid w:val="00D02CA5"/>
    <w:rsid w:val="00D064EE"/>
    <w:rsid w:val="00D06CBA"/>
    <w:rsid w:val="00D077B9"/>
    <w:rsid w:val="00D11447"/>
    <w:rsid w:val="00D12196"/>
    <w:rsid w:val="00D122F1"/>
    <w:rsid w:val="00D1254C"/>
    <w:rsid w:val="00D127BE"/>
    <w:rsid w:val="00D15FC2"/>
    <w:rsid w:val="00D17507"/>
    <w:rsid w:val="00D178F3"/>
    <w:rsid w:val="00D2262E"/>
    <w:rsid w:val="00D3076E"/>
    <w:rsid w:val="00D34F3E"/>
    <w:rsid w:val="00D36017"/>
    <w:rsid w:val="00D36780"/>
    <w:rsid w:val="00D3688A"/>
    <w:rsid w:val="00D36D57"/>
    <w:rsid w:val="00D44E23"/>
    <w:rsid w:val="00D45A73"/>
    <w:rsid w:val="00D45CC0"/>
    <w:rsid w:val="00D461B8"/>
    <w:rsid w:val="00D46293"/>
    <w:rsid w:val="00D51345"/>
    <w:rsid w:val="00D5134B"/>
    <w:rsid w:val="00D52FC3"/>
    <w:rsid w:val="00D531C6"/>
    <w:rsid w:val="00D53DE6"/>
    <w:rsid w:val="00D57545"/>
    <w:rsid w:val="00D61705"/>
    <w:rsid w:val="00D61742"/>
    <w:rsid w:val="00D633E7"/>
    <w:rsid w:val="00D64D8A"/>
    <w:rsid w:val="00D64F5F"/>
    <w:rsid w:val="00D65635"/>
    <w:rsid w:val="00D65E88"/>
    <w:rsid w:val="00D671A3"/>
    <w:rsid w:val="00D709F6"/>
    <w:rsid w:val="00D76523"/>
    <w:rsid w:val="00D808E1"/>
    <w:rsid w:val="00D8098D"/>
    <w:rsid w:val="00D81140"/>
    <w:rsid w:val="00D81BC2"/>
    <w:rsid w:val="00D82CB6"/>
    <w:rsid w:val="00D83B0E"/>
    <w:rsid w:val="00D84214"/>
    <w:rsid w:val="00D8501E"/>
    <w:rsid w:val="00D864C3"/>
    <w:rsid w:val="00D97291"/>
    <w:rsid w:val="00DA11A6"/>
    <w:rsid w:val="00DA1572"/>
    <w:rsid w:val="00DA38F6"/>
    <w:rsid w:val="00DA3EFE"/>
    <w:rsid w:val="00DA443C"/>
    <w:rsid w:val="00DA4AA3"/>
    <w:rsid w:val="00DA5DE3"/>
    <w:rsid w:val="00DA6BC8"/>
    <w:rsid w:val="00DA7260"/>
    <w:rsid w:val="00DB241D"/>
    <w:rsid w:val="00DB28F3"/>
    <w:rsid w:val="00DB7BDC"/>
    <w:rsid w:val="00DC11EF"/>
    <w:rsid w:val="00DC19B6"/>
    <w:rsid w:val="00DC2CFB"/>
    <w:rsid w:val="00DC78EF"/>
    <w:rsid w:val="00DD030B"/>
    <w:rsid w:val="00DD2D09"/>
    <w:rsid w:val="00DD2E98"/>
    <w:rsid w:val="00DD4FC8"/>
    <w:rsid w:val="00DD58CB"/>
    <w:rsid w:val="00DD59F3"/>
    <w:rsid w:val="00DD6893"/>
    <w:rsid w:val="00DD711E"/>
    <w:rsid w:val="00DD72FC"/>
    <w:rsid w:val="00DE09D4"/>
    <w:rsid w:val="00DE16DF"/>
    <w:rsid w:val="00DE1ACC"/>
    <w:rsid w:val="00DE47E9"/>
    <w:rsid w:val="00DE64A4"/>
    <w:rsid w:val="00DE78C1"/>
    <w:rsid w:val="00DF106F"/>
    <w:rsid w:val="00DF2CFF"/>
    <w:rsid w:val="00DF435B"/>
    <w:rsid w:val="00DF5BAD"/>
    <w:rsid w:val="00DF5C60"/>
    <w:rsid w:val="00DF657E"/>
    <w:rsid w:val="00DF7CB5"/>
    <w:rsid w:val="00E0036E"/>
    <w:rsid w:val="00E070CC"/>
    <w:rsid w:val="00E07EF4"/>
    <w:rsid w:val="00E07F5D"/>
    <w:rsid w:val="00E109E5"/>
    <w:rsid w:val="00E12482"/>
    <w:rsid w:val="00E12BE5"/>
    <w:rsid w:val="00E1777D"/>
    <w:rsid w:val="00E23374"/>
    <w:rsid w:val="00E27A00"/>
    <w:rsid w:val="00E27A08"/>
    <w:rsid w:val="00E30117"/>
    <w:rsid w:val="00E301A2"/>
    <w:rsid w:val="00E33EBD"/>
    <w:rsid w:val="00E36617"/>
    <w:rsid w:val="00E37874"/>
    <w:rsid w:val="00E37FF0"/>
    <w:rsid w:val="00E405DE"/>
    <w:rsid w:val="00E41E3B"/>
    <w:rsid w:val="00E4375B"/>
    <w:rsid w:val="00E44ADB"/>
    <w:rsid w:val="00E465E4"/>
    <w:rsid w:val="00E503EF"/>
    <w:rsid w:val="00E55602"/>
    <w:rsid w:val="00E64005"/>
    <w:rsid w:val="00E65E90"/>
    <w:rsid w:val="00E6774C"/>
    <w:rsid w:val="00E7015D"/>
    <w:rsid w:val="00E70180"/>
    <w:rsid w:val="00E7175E"/>
    <w:rsid w:val="00E720D9"/>
    <w:rsid w:val="00E72967"/>
    <w:rsid w:val="00E7321E"/>
    <w:rsid w:val="00E737F6"/>
    <w:rsid w:val="00E741C2"/>
    <w:rsid w:val="00E7478B"/>
    <w:rsid w:val="00E74C17"/>
    <w:rsid w:val="00E82292"/>
    <w:rsid w:val="00E82FE5"/>
    <w:rsid w:val="00E83813"/>
    <w:rsid w:val="00E84FA9"/>
    <w:rsid w:val="00E86E33"/>
    <w:rsid w:val="00E90C86"/>
    <w:rsid w:val="00E92682"/>
    <w:rsid w:val="00E97187"/>
    <w:rsid w:val="00EA162E"/>
    <w:rsid w:val="00EA28BA"/>
    <w:rsid w:val="00EA3941"/>
    <w:rsid w:val="00EA3A1F"/>
    <w:rsid w:val="00EA3D6F"/>
    <w:rsid w:val="00EA3DF4"/>
    <w:rsid w:val="00EA7FFD"/>
    <w:rsid w:val="00EB1981"/>
    <w:rsid w:val="00EB1B56"/>
    <w:rsid w:val="00EB29A6"/>
    <w:rsid w:val="00EB5666"/>
    <w:rsid w:val="00EB5FCA"/>
    <w:rsid w:val="00EC0B36"/>
    <w:rsid w:val="00EC2D1A"/>
    <w:rsid w:val="00EC3CC4"/>
    <w:rsid w:val="00ED0925"/>
    <w:rsid w:val="00ED3A22"/>
    <w:rsid w:val="00ED4F13"/>
    <w:rsid w:val="00ED6924"/>
    <w:rsid w:val="00ED6FE0"/>
    <w:rsid w:val="00EE131E"/>
    <w:rsid w:val="00EE3397"/>
    <w:rsid w:val="00EE441D"/>
    <w:rsid w:val="00EE4D7B"/>
    <w:rsid w:val="00EE5523"/>
    <w:rsid w:val="00EE5B10"/>
    <w:rsid w:val="00EE79B2"/>
    <w:rsid w:val="00EF1473"/>
    <w:rsid w:val="00EF1B98"/>
    <w:rsid w:val="00EF203F"/>
    <w:rsid w:val="00EF3B1B"/>
    <w:rsid w:val="00EF3CBE"/>
    <w:rsid w:val="00EF4A28"/>
    <w:rsid w:val="00EF4B00"/>
    <w:rsid w:val="00EF4F53"/>
    <w:rsid w:val="00EF5124"/>
    <w:rsid w:val="00EF5C1A"/>
    <w:rsid w:val="00F03050"/>
    <w:rsid w:val="00F0712B"/>
    <w:rsid w:val="00F0732C"/>
    <w:rsid w:val="00F12A62"/>
    <w:rsid w:val="00F12DF1"/>
    <w:rsid w:val="00F1490A"/>
    <w:rsid w:val="00F154BC"/>
    <w:rsid w:val="00F23BC4"/>
    <w:rsid w:val="00F257A6"/>
    <w:rsid w:val="00F306A3"/>
    <w:rsid w:val="00F30920"/>
    <w:rsid w:val="00F31DA9"/>
    <w:rsid w:val="00F31E5A"/>
    <w:rsid w:val="00F32DAC"/>
    <w:rsid w:val="00F34D06"/>
    <w:rsid w:val="00F34E6D"/>
    <w:rsid w:val="00F35305"/>
    <w:rsid w:val="00F37C68"/>
    <w:rsid w:val="00F4095E"/>
    <w:rsid w:val="00F409A6"/>
    <w:rsid w:val="00F411BF"/>
    <w:rsid w:val="00F41CAC"/>
    <w:rsid w:val="00F42668"/>
    <w:rsid w:val="00F434D4"/>
    <w:rsid w:val="00F460DA"/>
    <w:rsid w:val="00F46427"/>
    <w:rsid w:val="00F47FB1"/>
    <w:rsid w:val="00F50B62"/>
    <w:rsid w:val="00F52D6D"/>
    <w:rsid w:val="00F54D67"/>
    <w:rsid w:val="00F54F87"/>
    <w:rsid w:val="00F55043"/>
    <w:rsid w:val="00F600F7"/>
    <w:rsid w:val="00F60447"/>
    <w:rsid w:val="00F60548"/>
    <w:rsid w:val="00F61184"/>
    <w:rsid w:val="00F61C73"/>
    <w:rsid w:val="00F64363"/>
    <w:rsid w:val="00F65554"/>
    <w:rsid w:val="00F66316"/>
    <w:rsid w:val="00F6664C"/>
    <w:rsid w:val="00F66737"/>
    <w:rsid w:val="00F66A28"/>
    <w:rsid w:val="00F7097B"/>
    <w:rsid w:val="00F71B5E"/>
    <w:rsid w:val="00F776D9"/>
    <w:rsid w:val="00F77735"/>
    <w:rsid w:val="00F809A1"/>
    <w:rsid w:val="00F814BC"/>
    <w:rsid w:val="00F83C49"/>
    <w:rsid w:val="00F84557"/>
    <w:rsid w:val="00F84828"/>
    <w:rsid w:val="00F85C09"/>
    <w:rsid w:val="00F86B4B"/>
    <w:rsid w:val="00F9138B"/>
    <w:rsid w:val="00F92B91"/>
    <w:rsid w:val="00F9524F"/>
    <w:rsid w:val="00F95D3F"/>
    <w:rsid w:val="00F97E8E"/>
    <w:rsid w:val="00F97F4B"/>
    <w:rsid w:val="00FA4A6E"/>
    <w:rsid w:val="00FA7A80"/>
    <w:rsid w:val="00FB0E8E"/>
    <w:rsid w:val="00FB267E"/>
    <w:rsid w:val="00FB4CC5"/>
    <w:rsid w:val="00FB59FE"/>
    <w:rsid w:val="00FB5CC5"/>
    <w:rsid w:val="00FB66F8"/>
    <w:rsid w:val="00FB68A2"/>
    <w:rsid w:val="00FC0ED3"/>
    <w:rsid w:val="00FC3B76"/>
    <w:rsid w:val="00FC664C"/>
    <w:rsid w:val="00FC69C7"/>
    <w:rsid w:val="00FC75DF"/>
    <w:rsid w:val="00FC76C3"/>
    <w:rsid w:val="00FD0BB8"/>
    <w:rsid w:val="00FD12C1"/>
    <w:rsid w:val="00FD327E"/>
    <w:rsid w:val="00FD383A"/>
    <w:rsid w:val="00FD4F1A"/>
    <w:rsid w:val="00FD5CBB"/>
    <w:rsid w:val="00FD676B"/>
    <w:rsid w:val="00FD6899"/>
    <w:rsid w:val="00FD6F9F"/>
    <w:rsid w:val="00FD74E8"/>
    <w:rsid w:val="00FE0635"/>
    <w:rsid w:val="00FE2FDE"/>
    <w:rsid w:val="00FE481D"/>
    <w:rsid w:val="00FE6980"/>
    <w:rsid w:val="00FF25A7"/>
    <w:rsid w:val="00FF3EFB"/>
    <w:rsid w:val="00FF42E0"/>
    <w:rsid w:val="00FF51C9"/>
    <w:rsid w:val="00FF5569"/>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1CB6D1"/>
  <w15:chartTrackingRefBased/>
  <w15:docId w15:val="{BC80EC41-232F-4484-B13E-F0A09C1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2B"/>
    <w:rPr>
      <w:sz w:val="22"/>
    </w:rPr>
  </w:style>
  <w:style w:type="paragraph" w:styleId="Heading1">
    <w:name w:val="heading 1"/>
    <w:basedOn w:val="Normal"/>
    <w:next w:val="Normal"/>
    <w:link w:val="Heading1Char"/>
    <w:qFormat/>
    <w:rsid w:val="00F434D4"/>
    <w:pPr>
      <w:keepNext/>
      <w:spacing w:before="240" w:after="60"/>
      <w:outlineLvl w:val="0"/>
    </w:pPr>
    <w:rPr>
      <w:rFonts w:cs="Arial"/>
      <w:b/>
      <w:bCs/>
      <w:kern w:val="32"/>
      <w:sz w:val="32"/>
      <w:szCs w:val="32"/>
    </w:rPr>
  </w:style>
  <w:style w:type="paragraph" w:styleId="Heading5">
    <w:name w:val="heading 5"/>
    <w:basedOn w:val="Normal"/>
    <w:next w:val="Normal"/>
    <w:link w:val="Heading5Char"/>
    <w:qFormat/>
    <w:rsid w:val="00F434D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5FCA"/>
    <w:pPr>
      <w:tabs>
        <w:tab w:val="center" w:pos="4153"/>
        <w:tab w:val="right" w:pos="8306"/>
      </w:tabs>
    </w:pPr>
  </w:style>
  <w:style w:type="character" w:styleId="PageNumber">
    <w:name w:val="page number"/>
    <w:basedOn w:val="DefaultParagraphFont"/>
    <w:rsid w:val="00EB5FCA"/>
  </w:style>
  <w:style w:type="paragraph" w:styleId="Title">
    <w:name w:val="Title"/>
    <w:basedOn w:val="Normal"/>
    <w:qFormat/>
    <w:rsid w:val="009D7FBC"/>
    <w:pPr>
      <w:jc w:val="center"/>
    </w:pPr>
    <w:rPr>
      <w:rFonts w:ascii="Tahoma" w:hAnsi="Tahoma"/>
      <w:b/>
      <w:bCs/>
      <w:szCs w:val="24"/>
    </w:rPr>
  </w:style>
  <w:style w:type="paragraph" w:styleId="Subtitle">
    <w:name w:val="Subtitle"/>
    <w:basedOn w:val="Normal"/>
    <w:link w:val="SubtitleChar"/>
    <w:qFormat/>
    <w:rsid w:val="009D7FBC"/>
    <w:pPr>
      <w:jc w:val="center"/>
    </w:pPr>
    <w:rPr>
      <w:rFonts w:ascii="Tahoma" w:hAnsi="Tahoma"/>
      <w:b/>
      <w:bCs/>
      <w:sz w:val="28"/>
      <w:szCs w:val="24"/>
    </w:rPr>
  </w:style>
  <w:style w:type="paragraph" w:styleId="ListBullet2">
    <w:name w:val="List Bullet 2"/>
    <w:basedOn w:val="Normal"/>
    <w:rsid w:val="009D7FBC"/>
    <w:pPr>
      <w:numPr>
        <w:numId w:val="1"/>
      </w:numPr>
    </w:pPr>
    <w:rPr>
      <w:szCs w:val="24"/>
    </w:rPr>
  </w:style>
  <w:style w:type="character" w:customStyle="1" w:styleId="ppearse">
    <w:name w:val="ppearse"/>
    <w:semiHidden/>
    <w:rsid w:val="009D7FBC"/>
    <w:rPr>
      <w:rFonts w:ascii="Arial" w:hAnsi="Arial" w:cs="Arial"/>
      <w:color w:val="auto"/>
      <w:sz w:val="20"/>
      <w:szCs w:val="20"/>
    </w:rPr>
  </w:style>
  <w:style w:type="paragraph" w:styleId="Header">
    <w:name w:val="header"/>
    <w:basedOn w:val="Normal"/>
    <w:rsid w:val="009D7FBC"/>
    <w:pPr>
      <w:tabs>
        <w:tab w:val="center" w:pos="4153"/>
        <w:tab w:val="right" w:pos="8306"/>
      </w:tabs>
    </w:pPr>
  </w:style>
  <w:style w:type="character" w:customStyle="1" w:styleId="SubtitleChar">
    <w:name w:val="Subtitle Char"/>
    <w:link w:val="Subtitle"/>
    <w:rsid w:val="00CA3862"/>
    <w:rPr>
      <w:rFonts w:ascii="Tahoma" w:hAnsi="Tahoma"/>
      <w:b/>
      <w:bCs/>
      <w:sz w:val="28"/>
      <w:szCs w:val="24"/>
      <w:lang w:eastAsia="en-US"/>
    </w:rPr>
  </w:style>
  <w:style w:type="character" w:styleId="Hyperlink">
    <w:name w:val="Hyperlink"/>
    <w:uiPriority w:val="99"/>
    <w:unhideWhenUsed/>
    <w:rsid w:val="00CA0C89"/>
    <w:rPr>
      <w:color w:val="0000FF"/>
      <w:u w:val="single"/>
    </w:rPr>
  </w:style>
  <w:style w:type="paragraph" w:customStyle="1" w:styleId="Default">
    <w:name w:val="Default"/>
    <w:link w:val="DefaultChar"/>
    <w:rsid w:val="003746B3"/>
    <w:pPr>
      <w:autoSpaceDE w:val="0"/>
      <w:autoSpaceDN w:val="0"/>
      <w:adjustRightInd w:val="0"/>
    </w:pPr>
    <w:rPr>
      <w:rFonts w:ascii="Frutiger 45 Light" w:eastAsia="Calibri" w:hAnsi="Frutiger 45 Light" w:cs="Frutiger 45 Light"/>
      <w:color w:val="000000"/>
      <w:sz w:val="24"/>
      <w:szCs w:val="24"/>
      <w:lang w:eastAsia="en-US"/>
    </w:rPr>
  </w:style>
  <w:style w:type="paragraph" w:customStyle="1" w:styleId="CM2">
    <w:name w:val="CM2"/>
    <w:basedOn w:val="Default"/>
    <w:next w:val="Default"/>
    <w:uiPriority w:val="99"/>
    <w:rsid w:val="003746B3"/>
    <w:pPr>
      <w:spacing w:line="318" w:lineRule="atLeast"/>
    </w:pPr>
    <w:rPr>
      <w:rFonts w:cs="Times New Roman"/>
      <w:color w:val="auto"/>
    </w:rPr>
  </w:style>
  <w:style w:type="paragraph" w:customStyle="1" w:styleId="CM14">
    <w:name w:val="CM14"/>
    <w:basedOn w:val="Default"/>
    <w:next w:val="Default"/>
    <w:uiPriority w:val="99"/>
    <w:rsid w:val="003746B3"/>
    <w:rPr>
      <w:rFonts w:cs="Times New Roman"/>
      <w:color w:val="auto"/>
    </w:rPr>
  </w:style>
  <w:style w:type="paragraph" w:customStyle="1" w:styleId="CM13">
    <w:name w:val="CM13"/>
    <w:basedOn w:val="Default"/>
    <w:next w:val="Default"/>
    <w:uiPriority w:val="99"/>
    <w:rsid w:val="003746B3"/>
    <w:rPr>
      <w:rFonts w:cs="Times New Roman"/>
      <w:color w:val="auto"/>
    </w:rPr>
  </w:style>
  <w:style w:type="character" w:customStyle="1" w:styleId="DefaultChar">
    <w:name w:val="Default Char"/>
    <w:link w:val="Default"/>
    <w:uiPriority w:val="99"/>
    <w:locked/>
    <w:rsid w:val="003746B3"/>
    <w:rPr>
      <w:rFonts w:ascii="Frutiger 45 Light" w:eastAsia="Calibri" w:hAnsi="Frutiger 45 Light" w:cs="Frutiger 45 Light"/>
      <w:color w:val="000000"/>
      <w:sz w:val="24"/>
      <w:szCs w:val="24"/>
      <w:lang w:eastAsia="en-US"/>
    </w:rPr>
  </w:style>
  <w:style w:type="paragraph" w:styleId="BodyText">
    <w:name w:val="Body Text"/>
    <w:basedOn w:val="Normal"/>
    <w:link w:val="BodyTextChar"/>
    <w:uiPriority w:val="99"/>
    <w:semiHidden/>
    <w:unhideWhenUsed/>
    <w:rsid w:val="00BC59A2"/>
    <w:pPr>
      <w:spacing w:after="120"/>
    </w:pPr>
  </w:style>
  <w:style w:type="character" w:customStyle="1" w:styleId="BodyTextChar">
    <w:name w:val="Body Text Char"/>
    <w:link w:val="BodyText"/>
    <w:uiPriority w:val="99"/>
    <w:semiHidden/>
    <w:rsid w:val="00BC59A2"/>
    <w:rPr>
      <w:sz w:val="24"/>
      <w:lang w:eastAsia="en-US"/>
    </w:rPr>
  </w:style>
  <w:style w:type="paragraph" w:styleId="BodyTextFirstIndent">
    <w:name w:val="Body Text First Indent"/>
    <w:basedOn w:val="BodyText"/>
    <w:link w:val="BodyTextFirstIndentChar"/>
    <w:rsid w:val="00BC59A2"/>
    <w:pPr>
      <w:spacing w:line="276" w:lineRule="auto"/>
      <w:ind w:firstLine="210"/>
    </w:pPr>
    <w:rPr>
      <w:rFonts w:ascii="Calibri" w:eastAsia="Calibri" w:hAnsi="Calibri"/>
      <w:szCs w:val="22"/>
    </w:rPr>
  </w:style>
  <w:style w:type="character" w:customStyle="1" w:styleId="BodyTextFirstIndentChar">
    <w:name w:val="Body Text First Indent Char"/>
    <w:link w:val="BodyTextFirstIndent"/>
    <w:rsid w:val="00BC59A2"/>
    <w:rPr>
      <w:rFonts w:ascii="Calibri" w:eastAsia="Calibri" w:hAnsi="Calibri"/>
      <w:sz w:val="22"/>
      <w:szCs w:val="22"/>
      <w:lang w:eastAsia="en-US"/>
    </w:rPr>
  </w:style>
  <w:style w:type="table" w:customStyle="1" w:styleId="TableGrid1">
    <w:name w:val="Table Grid1"/>
    <w:basedOn w:val="TableNormal"/>
    <w:next w:val="TableGrid"/>
    <w:uiPriority w:val="59"/>
    <w:rsid w:val="005F22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FC7"/>
    <w:rPr>
      <w:rFonts w:ascii="Tahoma" w:hAnsi="Tahoma" w:cs="Tahoma"/>
      <w:sz w:val="16"/>
      <w:szCs w:val="16"/>
    </w:rPr>
  </w:style>
  <w:style w:type="character" w:customStyle="1" w:styleId="BalloonTextChar">
    <w:name w:val="Balloon Text Char"/>
    <w:link w:val="BalloonText"/>
    <w:uiPriority w:val="99"/>
    <w:semiHidden/>
    <w:rsid w:val="00580FC7"/>
    <w:rPr>
      <w:rFonts w:ascii="Tahoma" w:hAnsi="Tahoma" w:cs="Tahoma"/>
      <w:sz w:val="16"/>
      <w:szCs w:val="16"/>
      <w:lang w:eastAsia="en-US"/>
    </w:rPr>
  </w:style>
  <w:style w:type="character" w:customStyle="1" w:styleId="Heading1Char">
    <w:name w:val="Heading 1 Char"/>
    <w:link w:val="Heading1"/>
    <w:rsid w:val="00F434D4"/>
    <w:rPr>
      <w:rFonts w:ascii="Arial" w:hAnsi="Arial" w:cs="Arial"/>
      <w:b/>
      <w:bCs/>
      <w:kern w:val="32"/>
      <w:sz w:val="32"/>
      <w:szCs w:val="32"/>
    </w:rPr>
  </w:style>
  <w:style w:type="character" w:customStyle="1" w:styleId="Heading5Char">
    <w:name w:val="Heading 5 Char"/>
    <w:link w:val="Heading5"/>
    <w:rsid w:val="00F434D4"/>
    <w:rPr>
      <w:b/>
      <w:bCs/>
      <w:i/>
      <w:iCs/>
      <w:sz w:val="26"/>
      <w:szCs w:val="26"/>
    </w:rPr>
  </w:style>
  <w:style w:type="table" w:customStyle="1" w:styleId="TableGrid2">
    <w:name w:val="Table Grid2"/>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61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37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27F3B"/>
    <w:rPr>
      <w:sz w:val="16"/>
      <w:szCs w:val="16"/>
    </w:rPr>
  </w:style>
  <w:style w:type="paragraph" w:styleId="CommentText">
    <w:name w:val="annotation text"/>
    <w:basedOn w:val="Normal"/>
    <w:link w:val="CommentTextChar"/>
    <w:uiPriority w:val="99"/>
    <w:semiHidden/>
    <w:unhideWhenUsed/>
    <w:rsid w:val="00027F3B"/>
    <w:rPr>
      <w:sz w:val="20"/>
    </w:rPr>
  </w:style>
  <w:style w:type="character" w:customStyle="1" w:styleId="CommentTextChar">
    <w:name w:val="Comment Text Char"/>
    <w:link w:val="CommentText"/>
    <w:uiPriority w:val="99"/>
    <w:semiHidden/>
    <w:rsid w:val="00027F3B"/>
    <w:rPr>
      <w:lang w:eastAsia="en-US"/>
    </w:rPr>
  </w:style>
  <w:style w:type="paragraph" w:styleId="CommentSubject">
    <w:name w:val="annotation subject"/>
    <w:basedOn w:val="CommentText"/>
    <w:next w:val="CommentText"/>
    <w:link w:val="CommentSubjectChar"/>
    <w:uiPriority w:val="99"/>
    <w:semiHidden/>
    <w:unhideWhenUsed/>
    <w:rsid w:val="00027F3B"/>
    <w:rPr>
      <w:b/>
      <w:bCs/>
    </w:rPr>
  </w:style>
  <w:style w:type="character" w:customStyle="1" w:styleId="CommentSubjectChar">
    <w:name w:val="Comment Subject Char"/>
    <w:link w:val="CommentSubject"/>
    <w:uiPriority w:val="99"/>
    <w:semiHidden/>
    <w:rsid w:val="00027F3B"/>
    <w:rPr>
      <w:b/>
      <w:bCs/>
      <w:lang w:eastAsia="en-US"/>
    </w:rPr>
  </w:style>
  <w:style w:type="paragraph" w:styleId="NormalWeb">
    <w:name w:val="Normal (Web)"/>
    <w:basedOn w:val="Normal"/>
    <w:uiPriority w:val="99"/>
    <w:unhideWhenUsed/>
    <w:rsid w:val="0009649E"/>
    <w:pPr>
      <w:spacing w:after="180"/>
    </w:pPr>
    <w:rPr>
      <w:szCs w:val="24"/>
    </w:rPr>
  </w:style>
  <w:style w:type="character" w:customStyle="1" w:styleId="FooterChar">
    <w:name w:val="Footer Char"/>
    <w:link w:val="Footer"/>
    <w:uiPriority w:val="99"/>
    <w:rsid w:val="00B87F7B"/>
    <w:rPr>
      <w:sz w:val="24"/>
      <w:lang w:eastAsia="en-US"/>
    </w:rPr>
  </w:style>
  <w:style w:type="paragraph" w:styleId="ListParagraph">
    <w:name w:val="List Paragraph"/>
    <w:basedOn w:val="Normal"/>
    <w:uiPriority w:val="34"/>
    <w:qFormat/>
    <w:rsid w:val="00357C1D"/>
    <w:pPr>
      <w:ind w:left="720"/>
      <w:contextualSpacing/>
    </w:pPr>
  </w:style>
  <w:style w:type="paragraph" w:styleId="NoSpacing">
    <w:name w:val="No Spacing"/>
    <w:uiPriority w:val="1"/>
    <w:qFormat/>
    <w:rsid w:val="00AF3086"/>
    <w:rPr>
      <w:rFonts w:asciiTheme="minorHAnsi" w:eastAsiaTheme="minorHAnsi" w:hAnsiTheme="minorHAnsi" w:cstheme="minorBidi"/>
      <w:sz w:val="22"/>
      <w:szCs w:val="22"/>
      <w:lang w:eastAsia="en-US"/>
    </w:rPr>
  </w:style>
  <w:style w:type="character" w:customStyle="1" w:styleId="Style18">
    <w:name w:val="Style18"/>
    <w:basedOn w:val="DefaultParagraphFont"/>
    <w:uiPriority w:val="1"/>
    <w:rsid w:val="00AF308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7059">
      <w:bodyDiv w:val="1"/>
      <w:marLeft w:val="0"/>
      <w:marRight w:val="0"/>
      <w:marTop w:val="0"/>
      <w:marBottom w:val="0"/>
      <w:divBdr>
        <w:top w:val="none" w:sz="0" w:space="0" w:color="auto"/>
        <w:left w:val="none" w:sz="0" w:space="0" w:color="auto"/>
        <w:bottom w:val="none" w:sz="0" w:space="0" w:color="auto"/>
        <w:right w:val="none" w:sz="0" w:space="0" w:color="auto"/>
      </w:divBdr>
    </w:div>
    <w:div w:id="279265441">
      <w:bodyDiv w:val="1"/>
      <w:marLeft w:val="0"/>
      <w:marRight w:val="0"/>
      <w:marTop w:val="0"/>
      <w:marBottom w:val="0"/>
      <w:divBdr>
        <w:top w:val="none" w:sz="0" w:space="0" w:color="auto"/>
        <w:left w:val="none" w:sz="0" w:space="0" w:color="auto"/>
        <w:bottom w:val="none" w:sz="0" w:space="0" w:color="auto"/>
        <w:right w:val="none" w:sz="0" w:space="0" w:color="auto"/>
      </w:divBdr>
    </w:div>
    <w:div w:id="447553550">
      <w:bodyDiv w:val="1"/>
      <w:marLeft w:val="0"/>
      <w:marRight w:val="0"/>
      <w:marTop w:val="0"/>
      <w:marBottom w:val="0"/>
      <w:divBdr>
        <w:top w:val="none" w:sz="0" w:space="0" w:color="auto"/>
        <w:left w:val="none" w:sz="0" w:space="0" w:color="auto"/>
        <w:bottom w:val="none" w:sz="0" w:space="0" w:color="auto"/>
        <w:right w:val="none" w:sz="0" w:space="0" w:color="auto"/>
      </w:divBdr>
    </w:div>
    <w:div w:id="461923007">
      <w:bodyDiv w:val="1"/>
      <w:marLeft w:val="0"/>
      <w:marRight w:val="0"/>
      <w:marTop w:val="0"/>
      <w:marBottom w:val="0"/>
      <w:divBdr>
        <w:top w:val="none" w:sz="0" w:space="0" w:color="auto"/>
        <w:left w:val="none" w:sz="0" w:space="0" w:color="auto"/>
        <w:bottom w:val="none" w:sz="0" w:space="0" w:color="auto"/>
        <w:right w:val="none" w:sz="0" w:space="0" w:color="auto"/>
      </w:divBdr>
    </w:div>
    <w:div w:id="594561076">
      <w:bodyDiv w:val="1"/>
      <w:marLeft w:val="0"/>
      <w:marRight w:val="0"/>
      <w:marTop w:val="0"/>
      <w:marBottom w:val="0"/>
      <w:divBdr>
        <w:top w:val="none" w:sz="0" w:space="0" w:color="auto"/>
        <w:left w:val="none" w:sz="0" w:space="0" w:color="auto"/>
        <w:bottom w:val="none" w:sz="0" w:space="0" w:color="auto"/>
        <w:right w:val="none" w:sz="0" w:space="0" w:color="auto"/>
      </w:divBdr>
    </w:div>
    <w:div w:id="845436624">
      <w:bodyDiv w:val="1"/>
      <w:marLeft w:val="0"/>
      <w:marRight w:val="0"/>
      <w:marTop w:val="0"/>
      <w:marBottom w:val="0"/>
      <w:divBdr>
        <w:top w:val="none" w:sz="0" w:space="0" w:color="auto"/>
        <w:left w:val="none" w:sz="0" w:space="0" w:color="auto"/>
        <w:bottom w:val="none" w:sz="0" w:space="0" w:color="auto"/>
        <w:right w:val="none" w:sz="0" w:space="0" w:color="auto"/>
      </w:divBdr>
    </w:div>
    <w:div w:id="959149624">
      <w:bodyDiv w:val="1"/>
      <w:marLeft w:val="0"/>
      <w:marRight w:val="0"/>
      <w:marTop w:val="0"/>
      <w:marBottom w:val="0"/>
      <w:divBdr>
        <w:top w:val="none" w:sz="0" w:space="0" w:color="auto"/>
        <w:left w:val="none" w:sz="0" w:space="0" w:color="auto"/>
        <w:bottom w:val="none" w:sz="0" w:space="0" w:color="auto"/>
        <w:right w:val="none" w:sz="0" w:space="0" w:color="auto"/>
      </w:divBdr>
      <w:divsChild>
        <w:div w:id="712385830">
          <w:marLeft w:val="0"/>
          <w:marRight w:val="0"/>
          <w:marTop w:val="0"/>
          <w:marBottom w:val="0"/>
          <w:divBdr>
            <w:top w:val="none" w:sz="0" w:space="0" w:color="auto"/>
            <w:left w:val="none" w:sz="0" w:space="0" w:color="auto"/>
            <w:bottom w:val="none" w:sz="0" w:space="0" w:color="auto"/>
            <w:right w:val="none" w:sz="0" w:space="0" w:color="auto"/>
          </w:divBdr>
          <w:divsChild>
            <w:div w:id="1786463558">
              <w:marLeft w:val="0"/>
              <w:marRight w:val="0"/>
              <w:marTop w:val="0"/>
              <w:marBottom w:val="0"/>
              <w:divBdr>
                <w:top w:val="none" w:sz="0" w:space="0" w:color="auto"/>
                <w:left w:val="none" w:sz="0" w:space="0" w:color="auto"/>
                <w:bottom w:val="none" w:sz="0" w:space="0" w:color="auto"/>
                <w:right w:val="none" w:sz="0" w:space="0" w:color="auto"/>
              </w:divBdr>
              <w:divsChild>
                <w:div w:id="204685402">
                  <w:marLeft w:val="0"/>
                  <w:marRight w:val="0"/>
                  <w:marTop w:val="0"/>
                  <w:marBottom w:val="0"/>
                  <w:divBdr>
                    <w:top w:val="none" w:sz="0" w:space="0" w:color="auto"/>
                    <w:left w:val="none" w:sz="0" w:space="0" w:color="auto"/>
                    <w:bottom w:val="none" w:sz="0" w:space="0" w:color="auto"/>
                    <w:right w:val="none" w:sz="0" w:space="0" w:color="auto"/>
                  </w:divBdr>
                  <w:divsChild>
                    <w:div w:id="303698105">
                      <w:marLeft w:val="0"/>
                      <w:marRight w:val="0"/>
                      <w:marTop w:val="0"/>
                      <w:marBottom w:val="0"/>
                      <w:divBdr>
                        <w:top w:val="none" w:sz="0" w:space="0" w:color="auto"/>
                        <w:left w:val="none" w:sz="0" w:space="0" w:color="auto"/>
                        <w:bottom w:val="none" w:sz="0" w:space="0" w:color="auto"/>
                        <w:right w:val="none" w:sz="0" w:space="0" w:color="auto"/>
                      </w:divBdr>
                      <w:divsChild>
                        <w:div w:id="1457406524">
                          <w:marLeft w:val="0"/>
                          <w:marRight w:val="0"/>
                          <w:marTop w:val="0"/>
                          <w:marBottom w:val="0"/>
                          <w:divBdr>
                            <w:top w:val="none" w:sz="0" w:space="0" w:color="auto"/>
                            <w:left w:val="none" w:sz="0" w:space="0" w:color="auto"/>
                            <w:bottom w:val="none" w:sz="0" w:space="0" w:color="auto"/>
                            <w:right w:val="none" w:sz="0" w:space="0" w:color="auto"/>
                          </w:divBdr>
                          <w:divsChild>
                            <w:div w:id="1730378823">
                              <w:marLeft w:val="360"/>
                              <w:marRight w:val="360"/>
                              <w:marTop w:val="0"/>
                              <w:marBottom w:val="0"/>
                              <w:divBdr>
                                <w:top w:val="none" w:sz="0" w:space="0" w:color="auto"/>
                                <w:left w:val="none" w:sz="0" w:space="0" w:color="auto"/>
                                <w:bottom w:val="none" w:sz="0" w:space="0" w:color="auto"/>
                                <w:right w:val="none" w:sz="0" w:space="0" w:color="auto"/>
                              </w:divBdr>
                              <w:divsChild>
                                <w:div w:id="1651666070">
                                  <w:marLeft w:val="0"/>
                                  <w:marRight w:val="0"/>
                                  <w:marTop w:val="0"/>
                                  <w:marBottom w:val="0"/>
                                  <w:divBdr>
                                    <w:top w:val="none" w:sz="0" w:space="0" w:color="auto"/>
                                    <w:left w:val="none" w:sz="0" w:space="0" w:color="auto"/>
                                    <w:bottom w:val="none" w:sz="0" w:space="0" w:color="auto"/>
                                    <w:right w:val="none" w:sz="0" w:space="0" w:color="auto"/>
                                  </w:divBdr>
                                  <w:divsChild>
                                    <w:div w:id="864247327">
                                      <w:marLeft w:val="0"/>
                                      <w:marRight w:val="0"/>
                                      <w:marTop w:val="0"/>
                                      <w:marBottom w:val="300"/>
                                      <w:divBdr>
                                        <w:top w:val="none" w:sz="0" w:space="0" w:color="auto"/>
                                        <w:left w:val="none" w:sz="0" w:space="0" w:color="auto"/>
                                        <w:bottom w:val="none" w:sz="0" w:space="0" w:color="auto"/>
                                        <w:right w:val="none" w:sz="0" w:space="0" w:color="auto"/>
                                      </w:divBdr>
                                      <w:divsChild>
                                        <w:div w:id="1849171668">
                                          <w:marLeft w:val="0"/>
                                          <w:marRight w:val="0"/>
                                          <w:marTop w:val="0"/>
                                          <w:marBottom w:val="0"/>
                                          <w:divBdr>
                                            <w:top w:val="none" w:sz="0" w:space="0" w:color="auto"/>
                                            <w:left w:val="none" w:sz="0" w:space="0" w:color="auto"/>
                                            <w:bottom w:val="none" w:sz="0" w:space="0" w:color="auto"/>
                                            <w:right w:val="none" w:sz="0" w:space="0" w:color="auto"/>
                                          </w:divBdr>
                                          <w:divsChild>
                                            <w:div w:id="677394372">
                                              <w:marLeft w:val="0"/>
                                              <w:marRight w:val="0"/>
                                              <w:marTop w:val="0"/>
                                              <w:marBottom w:val="0"/>
                                              <w:divBdr>
                                                <w:top w:val="none" w:sz="0" w:space="0" w:color="auto"/>
                                                <w:left w:val="none" w:sz="0" w:space="0" w:color="auto"/>
                                                <w:bottom w:val="none" w:sz="0" w:space="0" w:color="auto"/>
                                                <w:right w:val="none" w:sz="0" w:space="0" w:color="auto"/>
                                              </w:divBdr>
                                              <w:divsChild>
                                                <w:div w:id="1104879946">
                                                  <w:marLeft w:val="0"/>
                                                  <w:marRight w:val="0"/>
                                                  <w:marTop w:val="0"/>
                                                  <w:marBottom w:val="0"/>
                                                  <w:divBdr>
                                                    <w:top w:val="none" w:sz="0" w:space="0" w:color="auto"/>
                                                    <w:left w:val="none" w:sz="0" w:space="0" w:color="auto"/>
                                                    <w:bottom w:val="none" w:sz="0" w:space="0" w:color="auto"/>
                                                    <w:right w:val="none" w:sz="0" w:space="0" w:color="auto"/>
                                                  </w:divBdr>
                                                  <w:divsChild>
                                                    <w:div w:id="1484009221">
                                                      <w:marLeft w:val="0"/>
                                                      <w:marRight w:val="0"/>
                                                      <w:marTop w:val="0"/>
                                                      <w:marBottom w:val="0"/>
                                                      <w:divBdr>
                                                        <w:top w:val="none" w:sz="0" w:space="0" w:color="auto"/>
                                                        <w:left w:val="none" w:sz="0" w:space="0" w:color="auto"/>
                                                        <w:bottom w:val="none" w:sz="0" w:space="0" w:color="auto"/>
                                                        <w:right w:val="none" w:sz="0" w:space="0" w:color="auto"/>
                                                      </w:divBdr>
                                                      <w:divsChild>
                                                        <w:div w:id="13639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2526490">
      <w:bodyDiv w:val="1"/>
      <w:marLeft w:val="0"/>
      <w:marRight w:val="0"/>
      <w:marTop w:val="0"/>
      <w:marBottom w:val="0"/>
      <w:divBdr>
        <w:top w:val="none" w:sz="0" w:space="0" w:color="auto"/>
        <w:left w:val="none" w:sz="0" w:space="0" w:color="auto"/>
        <w:bottom w:val="none" w:sz="0" w:space="0" w:color="auto"/>
        <w:right w:val="none" w:sz="0" w:space="0" w:color="auto"/>
      </w:divBdr>
    </w:div>
    <w:div w:id="1086609112">
      <w:bodyDiv w:val="1"/>
      <w:marLeft w:val="0"/>
      <w:marRight w:val="0"/>
      <w:marTop w:val="0"/>
      <w:marBottom w:val="0"/>
      <w:divBdr>
        <w:top w:val="none" w:sz="0" w:space="0" w:color="auto"/>
        <w:left w:val="none" w:sz="0" w:space="0" w:color="auto"/>
        <w:bottom w:val="none" w:sz="0" w:space="0" w:color="auto"/>
        <w:right w:val="none" w:sz="0" w:space="0" w:color="auto"/>
      </w:divBdr>
    </w:div>
    <w:div w:id="1119370867">
      <w:bodyDiv w:val="1"/>
      <w:marLeft w:val="0"/>
      <w:marRight w:val="0"/>
      <w:marTop w:val="0"/>
      <w:marBottom w:val="0"/>
      <w:divBdr>
        <w:top w:val="none" w:sz="0" w:space="0" w:color="auto"/>
        <w:left w:val="none" w:sz="0" w:space="0" w:color="auto"/>
        <w:bottom w:val="none" w:sz="0" w:space="0" w:color="auto"/>
        <w:right w:val="none" w:sz="0" w:space="0" w:color="auto"/>
      </w:divBdr>
      <w:divsChild>
        <w:div w:id="79836209">
          <w:marLeft w:val="0"/>
          <w:marRight w:val="0"/>
          <w:marTop w:val="0"/>
          <w:marBottom w:val="0"/>
          <w:divBdr>
            <w:top w:val="none" w:sz="0" w:space="0" w:color="auto"/>
            <w:left w:val="none" w:sz="0" w:space="0" w:color="auto"/>
            <w:bottom w:val="none" w:sz="0" w:space="0" w:color="auto"/>
            <w:right w:val="none" w:sz="0" w:space="0" w:color="auto"/>
          </w:divBdr>
          <w:divsChild>
            <w:div w:id="1483817718">
              <w:marLeft w:val="0"/>
              <w:marRight w:val="0"/>
              <w:marTop w:val="0"/>
              <w:marBottom w:val="0"/>
              <w:divBdr>
                <w:top w:val="none" w:sz="0" w:space="0" w:color="auto"/>
                <w:left w:val="none" w:sz="0" w:space="0" w:color="auto"/>
                <w:bottom w:val="none" w:sz="0" w:space="0" w:color="auto"/>
                <w:right w:val="none" w:sz="0" w:space="0" w:color="auto"/>
              </w:divBdr>
              <w:divsChild>
                <w:div w:id="449323406">
                  <w:marLeft w:val="0"/>
                  <w:marRight w:val="0"/>
                  <w:marTop w:val="0"/>
                  <w:marBottom w:val="0"/>
                  <w:divBdr>
                    <w:top w:val="none" w:sz="0" w:space="0" w:color="auto"/>
                    <w:left w:val="none" w:sz="0" w:space="0" w:color="auto"/>
                    <w:bottom w:val="none" w:sz="0" w:space="0" w:color="auto"/>
                    <w:right w:val="none" w:sz="0" w:space="0" w:color="auto"/>
                  </w:divBdr>
                  <w:divsChild>
                    <w:div w:id="1444039432">
                      <w:marLeft w:val="0"/>
                      <w:marRight w:val="0"/>
                      <w:marTop w:val="0"/>
                      <w:marBottom w:val="0"/>
                      <w:divBdr>
                        <w:top w:val="none" w:sz="0" w:space="0" w:color="auto"/>
                        <w:left w:val="none" w:sz="0" w:space="0" w:color="auto"/>
                        <w:bottom w:val="none" w:sz="0" w:space="0" w:color="auto"/>
                        <w:right w:val="none" w:sz="0" w:space="0" w:color="auto"/>
                      </w:divBdr>
                      <w:divsChild>
                        <w:div w:id="1943225938">
                          <w:marLeft w:val="0"/>
                          <w:marRight w:val="0"/>
                          <w:marTop w:val="0"/>
                          <w:marBottom w:val="0"/>
                          <w:divBdr>
                            <w:top w:val="none" w:sz="0" w:space="0" w:color="auto"/>
                            <w:left w:val="none" w:sz="0" w:space="0" w:color="auto"/>
                            <w:bottom w:val="none" w:sz="0" w:space="0" w:color="auto"/>
                            <w:right w:val="none" w:sz="0" w:space="0" w:color="auto"/>
                          </w:divBdr>
                          <w:divsChild>
                            <w:div w:id="8454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67894">
      <w:bodyDiv w:val="1"/>
      <w:marLeft w:val="0"/>
      <w:marRight w:val="0"/>
      <w:marTop w:val="0"/>
      <w:marBottom w:val="0"/>
      <w:divBdr>
        <w:top w:val="none" w:sz="0" w:space="0" w:color="auto"/>
        <w:left w:val="none" w:sz="0" w:space="0" w:color="auto"/>
        <w:bottom w:val="none" w:sz="0" w:space="0" w:color="auto"/>
        <w:right w:val="none" w:sz="0" w:space="0" w:color="auto"/>
      </w:divBdr>
    </w:div>
    <w:div w:id="1347714348">
      <w:bodyDiv w:val="1"/>
      <w:marLeft w:val="0"/>
      <w:marRight w:val="0"/>
      <w:marTop w:val="0"/>
      <w:marBottom w:val="0"/>
      <w:divBdr>
        <w:top w:val="none" w:sz="0" w:space="0" w:color="auto"/>
        <w:left w:val="none" w:sz="0" w:space="0" w:color="auto"/>
        <w:bottom w:val="none" w:sz="0" w:space="0" w:color="auto"/>
        <w:right w:val="none" w:sz="0" w:space="0" w:color="auto"/>
      </w:divBdr>
    </w:div>
    <w:div w:id="1594779990">
      <w:bodyDiv w:val="1"/>
      <w:marLeft w:val="0"/>
      <w:marRight w:val="0"/>
      <w:marTop w:val="0"/>
      <w:marBottom w:val="0"/>
      <w:divBdr>
        <w:top w:val="none" w:sz="0" w:space="0" w:color="auto"/>
        <w:left w:val="none" w:sz="0" w:space="0" w:color="auto"/>
        <w:bottom w:val="none" w:sz="0" w:space="0" w:color="auto"/>
        <w:right w:val="none" w:sz="0" w:space="0" w:color="auto"/>
      </w:divBdr>
    </w:div>
    <w:div w:id="1673679870">
      <w:bodyDiv w:val="1"/>
      <w:marLeft w:val="0"/>
      <w:marRight w:val="0"/>
      <w:marTop w:val="0"/>
      <w:marBottom w:val="0"/>
      <w:divBdr>
        <w:top w:val="none" w:sz="0" w:space="0" w:color="auto"/>
        <w:left w:val="none" w:sz="0" w:space="0" w:color="auto"/>
        <w:bottom w:val="none" w:sz="0" w:space="0" w:color="auto"/>
        <w:right w:val="none" w:sz="0" w:space="0" w:color="auto"/>
      </w:divBdr>
    </w:div>
    <w:div w:id="1714690793">
      <w:bodyDiv w:val="1"/>
      <w:marLeft w:val="0"/>
      <w:marRight w:val="0"/>
      <w:marTop w:val="0"/>
      <w:marBottom w:val="0"/>
      <w:divBdr>
        <w:top w:val="none" w:sz="0" w:space="0" w:color="auto"/>
        <w:left w:val="none" w:sz="0" w:space="0" w:color="auto"/>
        <w:bottom w:val="none" w:sz="0" w:space="0" w:color="auto"/>
        <w:right w:val="none" w:sz="0" w:space="0" w:color="auto"/>
      </w:divBdr>
    </w:div>
    <w:div w:id="1918706283">
      <w:bodyDiv w:val="1"/>
      <w:marLeft w:val="0"/>
      <w:marRight w:val="0"/>
      <w:marTop w:val="0"/>
      <w:marBottom w:val="0"/>
      <w:divBdr>
        <w:top w:val="none" w:sz="0" w:space="0" w:color="auto"/>
        <w:left w:val="none" w:sz="0" w:space="0" w:color="auto"/>
        <w:bottom w:val="none" w:sz="0" w:space="0" w:color="auto"/>
        <w:right w:val="none" w:sz="0" w:space="0" w:color="auto"/>
      </w:divBdr>
    </w:div>
    <w:div w:id="21393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nee\Local%20Settings\Temporary%20Internet%20Files\OLK14E6\New%20committee%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F839E7DBFD246BD0D0CADFBE73524" ma:contentTypeVersion="7" ma:contentTypeDescription="Create a new document." ma:contentTypeScope="" ma:versionID="6fdbd70cba1ee0379e29b696e4eb8ba2">
  <xsd:schema xmlns:xsd="http://www.w3.org/2001/XMLSchema" xmlns:xs="http://www.w3.org/2001/XMLSchema" xmlns:p="http://schemas.microsoft.com/office/2006/metadata/properties" xmlns:ns3="3ea0b871-c3f9-4525-aaea-921f78e4b76e" xmlns:ns4="d2a7c8aa-f83d-4c00-b8c6-3d603db967f6" targetNamespace="http://schemas.microsoft.com/office/2006/metadata/properties" ma:root="true" ma:fieldsID="9301ae96e216dd81971b84d16147bde7" ns3:_="" ns4:_="">
    <xsd:import namespace="3ea0b871-c3f9-4525-aaea-921f78e4b76e"/>
    <xsd:import namespace="d2a7c8aa-f83d-4c00-b8c6-3d603db967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0b871-c3f9-4525-aaea-921f78e4b7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7c8aa-f83d-4c00-b8c6-3d603db967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BA8B-AB52-4B4E-9AD1-62E4EDED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0b871-c3f9-4525-aaea-921f78e4b76e"/>
    <ds:schemaRef ds:uri="d2a7c8aa-f83d-4c00-b8c6-3d603db96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4C1D7-B5E2-4712-AFDC-B3E3E5A492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440590-BD14-4B20-85CE-31B1FC939630}">
  <ds:schemaRefs>
    <ds:schemaRef ds:uri="http://schemas.microsoft.com/sharepoint/v3/contenttype/forms"/>
  </ds:schemaRefs>
</ds:datastoreItem>
</file>

<file path=customXml/itemProps4.xml><?xml version="1.0" encoding="utf-8"?>
<ds:datastoreItem xmlns:ds="http://schemas.openxmlformats.org/officeDocument/2006/customXml" ds:itemID="{1C425F45-98EE-4AFC-98D3-36707853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committee paper</Template>
  <TotalTime>2</TotalTime>
  <Pages>1</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dtc training room poccu</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dc:creator>
  <cp:keywords/>
  <cp:lastModifiedBy>Sue Pemberton</cp:lastModifiedBy>
  <cp:revision>2</cp:revision>
  <cp:lastPrinted>2016-04-11T07:07:00Z</cp:lastPrinted>
  <dcterms:created xsi:type="dcterms:W3CDTF">2022-02-17T08:06:00Z</dcterms:created>
  <dcterms:modified xsi:type="dcterms:W3CDTF">2022-02-17T08:06:00Z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0x0101001BDF839E7DBFD246BD0D0CADFBE73524</vt:lpwstr>
  </property>
</Properties>
</file>